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8AA45" w14:textId="77777777" w:rsidR="00F14A00" w:rsidRPr="008D2AAC" w:rsidRDefault="00F14A00" w:rsidP="00F14A00">
      <w:pPr>
        <w:spacing w:after="0" w:line="240" w:lineRule="auto"/>
        <w:rPr>
          <w:rStyle w:val="Title1"/>
          <w:rFonts w:ascii="Times New Roman" w:hAnsi="Times New Roman" w:cs="Times New Roman"/>
          <w:b/>
          <w:bCs/>
          <w:sz w:val="26"/>
          <w:szCs w:val="26"/>
        </w:rPr>
      </w:pPr>
    </w:p>
    <w:p w14:paraId="34FB0226" w14:textId="4E245BC5" w:rsidR="00DC422A" w:rsidRPr="008D2AAC" w:rsidRDefault="5551A657" w:rsidP="00546C4E">
      <w:pPr>
        <w:spacing w:after="0" w:line="240" w:lineRule="auto"/>
        <w:jc w:val="center"/>
        <w:rPr>
          <w:rStyle w:val="Title1"/>
          <w:rFonts w:ascii="Times New Roman" w:hAnsi="Times New Roman" w:cs="Times New Roman"/>
          <w:b/>
          <w:bCs/>
          <w:sz w:val="26"/>
          <w:szCs w:val="26"/>
        </w:rPr>
      </w:pPr>
      <w:r w:rsidRPr="008D2AAC">
        <w:rPr>
          <w:rStyle w:val="Title1"/>
          <w:rFonts w:ascii="Times New Roman" w:hAnsi="Times New Roman" w:cs="Times New Roman"/>
          <w:b/>
          <w:bCs/>
          <w:sz w:val="26"/>
          <w:szCs w:val="26"/>
        </w:rPr>
        <w:t>Frequently Asked Questions</w:t>
      </w:r>
      <w:r w:rsidR="1FAF7380" w:rsidRPr="008D2AAC">
        <w:rPr>
          <w:rStyle w:val="Title1"/>
          <w:rFonts w:ascii="Times New Roman" w:hAnsi="Times New Roman" w:cs="Times New Roman"/>
          <w:b/>
          <w:bCs/>
          <w:sz w:val="26"/>
          <w:szCs w:val="26"/>
        </w:rPr>
        <w:t xml:space="preserve"> (FAQ)</w:t>
      </w:r>
      <w:r w:rsidR="47659F60" w:rsidRPr="008D2AAC">
        <w:rPr>
          <w:rStyle w:val="Title1"/>
          <w:rFonts w:ascii="Times New Roman" w:hAnsi="Times New Roman" w:cs="Times New Roman"/>
          <w:b/>
          <w:bCs/>
          <w:sz w:val="26"/>
          <w:szCs w:val="26"/>
        </w:rPr>
        <w:t xml:space="preserve"> for Contracts</w:t>
      </w:r>
    </w:p>
    <w:p w14:paraId="63E1608B" w14:textId="77777777" w:rsidR="00546C4E" w:rsidRPr="008D2AAC" w:rsidRDefault="00546C4E" w:rsidP="00546C4E">
      <w:pPr>
        <w:spacing w:after="0" w:line="240" w:lineRule="auto"/>
        <w:jc w:val="center"/>
        <w:rPr>
          <w:rStyle w:val="Title1"/>
          <w:rFonts w:ascii="Times New Roman" w:hAnsi="Times New Roman" w:cs="Times New Roman"/>
          <w:b/>
          <w:bCs/>
          <w:sz w:val="26"/>
          <w:szCs w:val="26"/>
        </w:rPr>
      </w:pPr>
    </w:p>
    <w:p w14:paraId="52CFED3C" w14:textId="77E16172" w:rsidR="70B41626" w:rsidRPr="008D2AAC" w:rsidRDefault="5551A657" w:rsidP="00546C4E">
      <w:pPr>
        <w:spacing w:after="0" w:line="240" w:lineRule="auto"/>
        <w:jc w:val="center"/>
        <w:rPr>
          <w:rStyle w:val="noticenum"/>
          <w:rFonts w:ascii="Times New Roman" w:hAnsi="Times New Roman" w:cs="Times New Roman"/>
          <w:b/>
          <w:bCs/>
          <w:sz w:val="26"/>
          <w:szCs w:val="26"/>
        </w:rPr>
      </w:pPr>
      <w:r w:rsidRPr="008D2AAC">
        <w:rPr>
          <w:rStyle w:val="Title1"/>
          <w:rFonts w:ascii="Times New Roman" w:hAnsi="Times New Roman" w:cs="Times New Roman"/>
          <w:b/>
          <w:bCs/>
          <w:sz w:val="26"/>
          <w:szCs w:val="26"/>
        </w:rPr>
        <w:t>NIH Policy for Data Management and Sharing</w:t>
      </w:r>
      <w:r w:rsidR="1296249C" w:rsidRPr="008D2AAC">
        <w:rPr>
          <w:rStyle w:val="Title1"/>
          <w:rFonts w:ascii="Times New Roman" w:hAnsi="Times New Roman" w:cs="Times New Roman"/>
          <w:b/>
          <w:bCs/>
          <w:sz w:val="26"/>
          <w:szCs w:val="26"/>
        </w:rPr>
        <w:t xml:space="preserve"> (DMS)</w:t>
      </w:r>
      <w:r w:rsidRPr="008D2AAC">
        <w:rPr>
          <w:rStyle w:val="Title1"/>
          <w:rFonts w:ascii="Times New Roman" w:hAnsi="Times New Roman" w:cs="Times New Roman"/>
          <w:b/>
          <w:bCs/>
          <w:sz w:val="26"/>
          <w:szCs w:val="26"/>
        </w:rPr>
        <w:t xml:space="preserve"> - </w:t>
      </w:r>
      <w:bookmarkStart w:id="0" w:name="_Hlk94865169"/>
      <w:r w:rsidRPr="008D2AAC">
        <w:rPr>
          <w:rStyle w:val="noticenum"/>
          <w:rFonts w:ascii="Times New Roman" w:hAnsi="Times New Roman" w:cs="Times New Roman"/>
          <w:b/>
          <w:bCs/>
          <w:sz w:val="26"/>
          <w:szCs w:val="26"/>
        </w:rPr>
        <w:t>NOT-OD-21-013</w:t>
      </w:r>
      <w:bookmarkEnd w:id="0"/>
    </w:p>
    <w:p w14:paraId="1C6447D4" w14:textId="77777777" w:rsidR="00546C4E" w:rsidRPr="00B15860" w:rsidRDefault="00546C4E" w:rsidP="00546C4E">
      <w:pPr>
        <w:spacing w:after="0" w:line="240" w:lineRule="auto"/>
        <w:jc w:val="center"/>
        <w:rPr>
          <w:rFonts w:ascii="Roboto Medium" w:hAnsi="Roboto Medium" w:cs="Times New Roman"/>
          <w:b/>
          <w:bCs/>
          <w:sz w:val="26"/>
          <w:szCs w:val="26"/>
        </w:rPr>
      </w:pPr>
    </w:p>
    <w:p w14:paraId="7CE6A2B3" w14:textId="1B695A0B" w:rsidR="00B15860" w:rsidRPr="00B15860" w:rsidRDefault="00B15860" w:rsidP="00B15860">
      <w:pPr>
        <w:pStyle w:val="paragraph"/>
        <w:numPr>
          <w:ilvl w:val="0"/>
          <w:numId w:val="1"/>
        </w:numPr>
        <w:spacing w:before="0" w:beforeAutospacing="0" w:after="0" w:afterAutospacing="0"/>
        <w:ind w:left="360"/>
        <w:textAlignment w:val="baseline"/>
        <w:rPr>
          <w:rFonts w:eastAsia="Times New Roman"/>
          <w:b/>
          <w:bCs/>
        </w:rPr>
      </w:pPr>
      <w:r>
        <w:rPr>
          <w:rFonts w:eastAsia="Times New Roman"/>
          <w:b/>
          <w:bCs/>
        </w:rPr>
        <w:t xml:space="preserve">Q: </w:t>
      </w:r>
      <w:r w:rsidRPr="00B15860">
        <w:rPr>
          <w:rFonts w:eastAsia="Times New Roman"/>
          <w:b/>
          <w:bCs/>
        </w:rPr>
        <w:t>What is the effective date of the DMS Policy (</w:t>
      </w:r>
      <w:hyperlink r:id="rId5" w:history="1">
        <w:r w:rsidR="00D01581" w:rsidRPr="00906744">
          <w:rPr>
            <w:rStyle w:val="Hyperlink"/>
            <w:rFonts w:cstheme="minorHAnsi"/>
          </w:rPr>
          <w:t>Final NIH Polic</w:t>
        </w:r>
        <w:r w:rsidR="00D01581" w:rsidRPr="00906744">
          <w:rPr>
            <w:rStyle w:val="Hyperlink"/>
            <w:rFonts w:cstheme="minorHAnsi"/>
          </w:rPr>
          <w:t>y</w:t>
        </w:r>
        <w:r w:rsidR="00D01581" w:rsidRPr="00906744">
          <w:rPr>
            <w:rStyle w:val="Hyperlink"/>
            <w:rFonts w:cstheme="minorHAnsi"/>
          </w:rPr>
          <w:t xml:space="preserve"> for Data Management and Sharing, NOT-OD-21-013,</w:t>
        </w:r>
      </w:hyperlink>
      <w:r w:rsidRPr="00B15860">
        <w:rPr>
          <w:rFonts w:eastAsia="Times New Roman"/>
          <w:b/>
          <w:bCs/>
        </w:rPr>
        <w:t>) for contracts?</w:t>
      </w:r>
    </w:p>
    <w:p w14:paraId="36FC9DA5" w14:textId="77777777" w:rsidR="00B15860" w:rsidRPr="00B15860" w:rsidRDefault="00B15860" w:rsidP="00B15860">
      <w:pPr>
        <w:pStyle w:val="paragraph"/>
        <w:spacing w:before="0" w:beforeAutospacing="0" w:after="0" w:afterAutospacing="0"/>
        <w:ind w:left="720"/>
        <w:textAlignment w:val="baseline"/>
        <w:rPr>
          <w:rFonts w:eastAsia="Times New Roman"/>
        </w:rPr>
      </w:pPr>
    </w:p>
    <w:p w14:paraId="14389D15" w14:textId="25B7CC4E" w:rsidR="00B15860" w:rsidRPr="00B15860" w:rsidRDefault="00B15860" w:rsidP="00B15860">
      <w:pPr>
        <w:pStyle w:val="paragraph"/>
        <w:spacing w:before="0" w:beforeAutospacing="0" w:after="0" w:afterAutospacing="0"/>
        <w:ind w:left="360"/>
        <w:textAlignment w:val="baseline"/>
        <w:rPr>
          <w:rFonts w:eastAsia="Times New Roman"/>
        </w:rPr>
      </w:pPr>
      <w:r>
        <w:rPr>
          <w:rFonts w:eastAsia="Times New Roman"/>
        </w:rPr>
        <w:t>R:</w:t>
      </w:r>
      <w:r w:rsidRPr="00B15860">
        <w:rPr>
          <w:rFonts w:eastAsia="Times New Roman"/>
        </w:rPr>
        <w:t xml:space="preserve">The effective date of the DMS Policy (NOT-OD-21-013) applies to proposals submitted on or after January 25, 2023. </w:t>
      </w:r>
    </w:p>
    <w:p w14:paraId="5AEEF5CF" w14:textId="77777777" w:rsidR="00B15860" w:rsidRPr="00B15860" w:rsidRDefault="00B15860" w:rsidP="00B15860">
      <w:pPr>
        <w:pStyle w:val="paragraph"/>
        <w:spacing w:before="0" w:beforeAutospacing="0" w:after="0" w:afterAutospacing="0"/>
        <w:ind w:left="360"/>
        <w:textAlignment w:val="baseline"/>
        <w:rPr>
          <w:rFonts w:eastAsia="Times New Roman"/>
        </w:rPr>
      </w:pPr>
    </w:p>
    <w:p w14:paraId="1C58F578" w14:textId="5CB851B4" w:rsidR="00B15860" w:rsidRPr="00B15860" w:rsidRDefault="00B15860" w:rsidP="00B15860">
      <w:pPr>
        <w:pStyle w:val="paragraph"/>
        <w:spacing w:before="0" w:beforeAutospacing="0" w:after="0" w:afterAutospacing="0"/>
        <w:ind w:left="360"/>
        <w:textAlignment w:val="baseline"/>
        <w:rPr>
          <w:rFonts w:eastAsia="Times New Roman"/>
        </w:rPr>
      </w:pPr>
      <w:r w:rsidRPr="00B15860">
        <w:rPr>
          <w:rFonts w:eastAsia="Times New Roman"/>
        </w:rPr>
        <w:t xml:space="preserve">For contract implementation, the NIH Document Generation System (DGS) language regarding the policy shall be included in all solicitations released as of July </w:t>
      </w:r>
      <w:r w:rsidR="0083315B">
        <w:rPr>
          <w:rFonts w:eastAsia="Times New Roman"/>
        </w:rPr>
        <w:t>5</w:t>
      </w:r>
      <w:r w:rsidRPr="00B15860">
        <w:rPr>
          <w:rFonts w:eastAsia="Times New Roman"/>
        </w:rPr>
        <w:t xml:space="preserve">, 2022 with an original proposal receipt date of January 25, 2023 or after. The Policy will not apply to </w:t>
      </w:r>
      <w:r w:rsidRPr="00B15860">
        <w:rPr>
          <w:rFonts w:eastAsia="Times New Roman"/>
          <w:i/>
          <w:iCs/>
        </w:rPr>
        <w:t>solicitation amendments</w:t>
      </w:r>
      <w:r w:rsidRPr="00B15860">
        <w:rPr>
          <w:rFonts w:eastAsia="Times New Roman"/>
        </w:rPr>
        <w:t xml:space="preserve"> that result in proposal receipt extensions resulting in proposal submission to NIH on or after January 25, 2023 or beyond.</w:t>
      </w:r>
    </w:p>
    <w:p w14:paraId="1BCDCC52" w14:textId="77777777" w:rsidR="00B15860" w:rsidRPr="00B15860" w:rsidRDefault="00B15860" w:rsidP="00B15860">
      <w:pPr>
        <w:pStyle w:val="paragraph"/>
        <w:spacing w:before="0" w:beforeAutospacing="0" w:after="0" w:afterAutospacing="0"/>
        <w:ind w:left="360"/>
        <w:textAlignment w:val="baseline"/>
        <w:rPr>
          <w:rFonts w:eastAsia="Times New Roman"/>
        </w:rPr>
      </w:pPr>
    </w:p>
    <w:p w14:paraId="41242375" w14:textId="77777777" w:rsidR="00B15860" w:rsidRPr="00B15860" w:rsidRDefault="00B15860" w:rsidP="00B15860">
      <w:pPr>
        <w:pStyle w:val="paragraph"/>
        <w:spacing w:before="0" w:beforeAutospacing="0" w:after="0" w:afterAutospacing="0"/>
        <w:ind w:left="360"/>
        <w:textAlignment w:val="baseline"/>
        <w:rPr>
          <w:rFonts w:eastAsia="Times New Roman"/>
        </w:rPr>
      </w:pPr>
      <w:r w:rsidRPr="00B15860">
        <w:rPr>
          <w:rFonts w:eastAsia="Times New Roman"/>
        </w:rPr>
        <w:t>The NIH Data Sharing Policy NOT-OD-03-032, dated February 26, 2003, will remain applicable to proposals received and contracts awarded prior to January 25, 2023, and contracts resulting from those proposals.</w:t>
      </w:r>
    </w:p>
    <w:p w14:paraId="227105CA" w14:textId="77777777" w:rsidR="00B15860" w:rsidRPr="00B15860" w:rsidRDefault="00B15860" w:rsidP="00B15860">
      <w:pPr>
        <w:pStyle w:val="paragraph"/>
        <w:spacing w:before="0" w:beforeAutospacing="0" w:after="0" w:afterAutospacing="0"/>
        <w:ind w:left="360"/>
        <w:textAlignment w:val="baseline"/>
        <w:rPr>
          <w:rFonts w:eastAsia="Times New Roman"/>
        </w:rPr>
      </w:pPr>
    </w:p>
    <w:p w14:paraId="64F7D865" w14:textId="77777777" w:rsidR="00B15860" w:rsidRPr="00B15860" w:rsidRDefault="00B15860" w:rsidP="00B15860">
      <w:pPr>
        <w:pStyle w:val="paragraph"/>
        <w:spacing w:before="0" w:beforeAutospacing="0" w:after="0" w:afterAutospacing="0"/>
        <w:ind w:left="360"/>
        <w:textAlignment w:val="baseline"/>
        <w:rPr>
          <w:rFonts w:eastAsia="Times New Roman"/>
        </w:rPr>
      </w:pPr>
      <w:r w:rsidRPr="00B15860">
        <w:rPr>
          <w:rFonts w:eastAsia="Times New Roman"/>
        </w:rPr>
        <w:t>Contracting officers should ensure the DGS language for either NOT-OD-21-013 or NOT-OD-03-032 as applicable.</w:t>
      </w:r>
    </w:p>
    <w:p w14:paraId="13357582" w14:textId="77777777" w:rsidR="00B15860" w:rsidRPr="00B15860" w:rsidRDefault="00B15860" w:rsidP="00B15860">
      <w:pPr>
        <w:pStyle w:val="paragraph"/>
        <w:spacing w:before="0" w:beforeAutospacing="0" w:after="0" w:afterAutospacing="0"/>
        <w:ind w:left="720"/>
        <w:textAlignment w:val="baseline"/>
        <w:rPr>
          <w:rFonts w:eastAsia="Times New Roman"/>
          <w:b/>
          <w:bCs/>
        </w:rPr>
      </w:pPr>
    </w:p>
    <w:p w14:paraId="04E9B567" w14:textId="76BB3D23" w:rsidR="00B15860" w:rsidRPr="00B15860" w:rsidRDefault="00B15860" w:rsidP="00B15860">
      <w:pPr>
        <w:pStyle w:val="paragraph"/>
        <w:numPr>
          <w:ilvl w:val="0"/>
          <w:numId w:val="1"/>
        </w:numPr>
        <w:spacing w:before="0" w:beforeAutospacing="0" w:after="0" w:afterAutospacing="0"/>
        <w:ind w:left="360"/>
        <w:textAlignment w:val="baseline"/>
        <w:rPr>
          <w:rFonts w:eastAsia="Times New Roman"/>
          <w:b/>
          <w:bCs/>
        </w:rPr>
      </w:pPr>
      <w:r>
        <w:rPr>
          <w:rFonts w:eastAsia="Times New Roman"/>
          <w:b/>
          <w:bCs/>
        </w:rPr>
        <w:t xml:space="preserve">Q: </w:t>
      </w:r>
      <w:r w:rsidRPr="00B15860">
        <w:rPr>
          <w:rFonts w:eastAsia="Times New Roman"/>
          <w:b/>
          <w:bCs/>
        </w:rPr>
        <w:t>When should DMS Plans be submitted and deemed acceptable for a contract?</w:t>
      </w:r>
    </w:p>
    <w:p w14:paraId="14E0D43D" w14:textId="77777777" w:rsidR="00B15860" w:rsidRPr="00B15860" w:rsidRDefault="00B15860" w:rsidP="00B15860">
      <w:pPr>
        <w:pStyle w:val="paragraph"/>
        <w:spacing w:before="0" w:beforeAutospacing="0" w:after="0" w:afterAutospacing="0"/>
        <w:ind w:left="720"/>
        <w:textAlignment w:val="baseline"/>
        <w:rPr>
          <w:rFonts w:eastAsia="Times New Roman"/>
        </w:rPr>
      </w:pPr>
    </w:p>
    <w:p w14:paraId="103AD4E5" w14:textId="25775E03" w:rsidR="00B15860" w:rsidRPr="00B15860" w:rsidRDefault="00B15860" w:rsidP="00B15860">
      <w:pPr>
        <w:pStyle w:val="paragraph"/>
        <w:spacing w:before="0" w:beforeAutospacing="0" w:after="0" w:afterAutospacing="0"/>
        <w:ind w:left="360"/>
        <w:textAlignment w:val="baseline"/>
        <w:rPr>
          <w:rFonts w:eastAsia="Times New Roman"/>
        </w:rPr>
      </w:pPr>
      <w:r>
        <w:rPr>
          <w:rFonts w:eastAsia="Times New Roman"/>
        </w:rPr>
        <w:t xml:space="preserve">R: </w:t>
      </w:r>
      <w:r w:rsidRPr="00B15860">
        <w:rPr>
          <w:rFonts w:eastAsia="Times New Roman"/>
        </w:rPr>
        <w:t xml:space="preserve">The DMS Plan must be submitted with the proposal provided by the offeror.  In contrast to the Data Sharing Policy NOT-OD-03-032, the DMS Plan must be deemed acceptable </w:t>
      </w:r>
      <w:r w:rsidRPr="00B15860">
        <w:rPr>
          <w:rFonts w:eastAsia="Times New Roman"/>
          <w:i/>
          <w:iCs/>
        </w:rPr>
        <w:t>prior</w:t>
      </w:r>
      <w:r w:rsidRPr="00B15860">
        <w:rPr>
          <w:rFonts w:eastAsia="Times New Roman"/>
        </w:rPr>
        <w:t xml:space="preserve"> to contract award.</w:t>
      </w:r>
    </w:p>
    <w:p w14:paraId="3C061987" w14:textId="77777777" w:rsidR="00B15860" w:rsidRPr="00B15860" w:rsidRDefault="00B15860" w:rsidP="00B15860">
      <w:pPr>
        <w:pStyle w:val="paragraph"/>
        <w:spacing w:before="0" w:beforeAutospacing="0" w:after="0" w:afterAutospacing="0"/>
        <w:ind w:left="720"/>
        <w:textAlignment w:val="baseline"/>
        <w:rPr>
          <w:rFonts w:eastAsia="Times New Roman"/>
          <w:b/>
          <w:bCs/>
        </w:rPr>
      </w:pPr>
    </w:p>
    <w:p w14:paraId="510E1CB2" w14:textId="46D52071" w:rsidR="00B15860" w:rsidRPr="00B15860" w:rsidRDefault="00B15860" w:rsidP="00B15860">
      <w:pPr>
        <w:pStyle w:val="paragraph"/>
        <w:numPr>
          <w:ilvl w:val="0"/>
          <w:numId w:val="1"/>
        </w:numPr>
        <w:spacing w:before="0" w:beforeAutospacing="0" w:after="0" w:afterAutospacing="0"/>
        <w:ind w:left="360"/>
        <w:textAlignment w:val="baseline"/>
        <w:rPr>
          <w:rFonts w:eastAsia="Times New Roman"/>
          <w:b/>
          <w:bCs/>
        </w:rPr>
      </w:pPr>
      <w:r>
        <w:rPr>
          <w:rFonts w:eastAsia="Times New Roman"/>
          <w:b/>
          <w:bCs/>
        </w:rPr>
        <w:t xml:space="preserve">Q: </w:t>
      </w:r>
      <w:r w:rsidRPr="00B15860">
        <w:rPr>
          <w:rFonts w:eastAsia="Times New Roman"/>
          <w:b/>
          <w:bCs/>
        </w:rPr>
        <w:t>How should the evaluation of the DMS Plan be accomplished, prior to contract award?</w:t>
      </w:r>
    </w:p>
    <w:p w14:paraId="256FAB89" w14:textId="77777777" w:rsidR="00B15860" w:rsidRPr="00B15860" w:rsidRDefault="00B15860" w:rsidP="00B15860">
      <w:pPr>
        <w:pStyle w:val="paragraph"/>
        <w:spacing w:before="0" w:beforeAutospacing="0" w:after="0" w:afterAutospacing="0"/>
        <w:ind w:left="720"/>
        <w:textAlignment w:val="baseline"/>
        <w:rPr>
          <w:rFonts w:eastAsia="Times New Roman"/>
        </w:rPr>
      </w:pPr>
    </w:p>
    <w:p w14:paraId="48147C90" w14:textId="29345CC8" w:rsidR="00B15860" w:rsidRPr="00B15860" w:rsidRDefault="00B15860" w:rsidP="00B15860">
      <w:pPr>
        <w:pStyle w:val="paragraph"/>
        <w:spacing w:before="0" w:beforeAutospacing="0" w:after="0" w:afterAutospacing="0"/>
        <w:ind w:left="360"/>
        <w:textAlignment w:val="baseline"/>
        <w:rPr>
          <w:rFonts w:eastAsia="Times New Roman"/>
        </w:rPr>
      </w:pPr>
      <w:r>
        <w:rPr>
          <w:rFonts w:eastAsia="Times New Roman"/>
        </w:rPr>
        <w:t xml:space="preserve">R: </w:t>
      </w:r>
      <w:r w:rsidRPr="00B15860">
        <w:rPr>
          <w:rFonts w:eastAsia="Times New Roman"/>
        </w:rPr>
        <w:t>The evaluation of DMS Plans will be conducted by the Contracting Officer</w:t>
      </w:r>
      <w:r w:rsidR="00A3184D">
        <w:rPr>
          <w:rFonts w:eastAsia="Times New Roman"/>
        </w:rPr>
        <w:t xml:space="preserve"> </w:t>
      </w:r>
      <w:r w:rsidRPr="00B15860">
        <w:rPr>
          <w:rFonts w:eastAsia="Times New Roman"/>
        </w:rPr>
        <w:t>Representative (COR) with input from other NIH subject matter experts,</w:t>
      </w:r>
      <w:r w:rsidRPr="00B15860" w:rsidDel="002866E0">
        <w:rPr>
          <w:rFonts w:eastAsia="Times New Roman"/>
        </w:rPr>
        <w:t xml:space="preserve"> </w:t>
      </w:r>
      <w:r w:rsidRPr="00B15860">
        <w:rPr>
          <w:rFonts w:eastAsia="Times New Roman"/>
        </w:rPr>
        <w:t>as part of the proposal evaluation process. Anyone reviewing the proposal shall sign the nondisclosure agreement in advance of proposal access.</w:t>
      </w:r>
    </w:p>
    <w:p w14:paraId="54FB7954" w14:textId="77777777" w:rsidR="00B15860" w:rsidRPr="00B15860" w:rsidRDefault="00B15860" w:rsidP="00B15860">
      <w:pPr>
        <w:pStyle w:val="paragraph"/>
        <w:spacing w:before="0" w:beforeAutospacing="0" w:after="0" w:afterAutospacing="0"/>
        <w:ind w:left="720"/>
        <w:textAlignment w:val="baseline"/>
        <w:rPr>
          <w:rFonts w:eastAsia="Times New Roman"/>
          <w:b/>
          <w:bCs/>
        </w:rPr>
      </w:pPr>
    </w:p>
    <w:p w14:paraId="4E6A5D43" w14:textId="148B81C2" w:rsidR="00B15860" w:rsidRPr="00B15860" w:rsidRDefault="00B15860" w:rsidP="00B15860">
      <w:pPr>
        <w:pStyle w:val="paragraph"/>
        <w:numPr>
          <w:ilvl w:val="0"/>
          <w:numId w:val="1"/>
        </w:numPr>
        <w:spacing w:before="0" w:beforeAutospacing="0" w:after="0" w:afterAutospacing="0"/>
        <w:ind w:left="360"/>
        <w:textAlignment w:val="baseline"/>
        <w:rPr>
          <w:rFonts w:eastAsia="Times New Roman"/>
          <w:b/>
          <w:bCs/>
        </w:rPr>
      </w:pPr>
      <w:r>
        <w:rPr>
          <w:rFonts w:eastAsia="Times New Roman"/>
          <w:b/>
          <w:bCs/>
        </w:rPr>
        <w:t xml:space="preserve">Q: </w:t>
      </w:r>
      <w:r w:rsidRPr="00B15860">
        <w:rPr>
          <w:rFonts w:eastAsia="Times New Roman"/>
          <w:b/>
          <w:bCs/>
        </w:rPr>
        <w:t>How would a post award revision to a DMS Plan be handled?</w:t>
      </w:r>
    </w:p>
    <w:p w14:paraId="6188B3B2" w14:textId="77777777" w:rsidR="00B15860" w:rsidRPr="00B15860" w:rsidRDefault="00B15860" w:rsidP="00B15860">
      <w:pPr>
        <w:pStyle w:val="paragraph"/>
        <w:spacing w:before="0" w:beforeAutospacing="0" w:after="0" w:afterAutospacing="0"/>
        <w:ind w:left="720"/>
        <w:textAlignment w:val="baseline"/>
        <w:rPr>
          <w:rFonts w:eastAsia="Times New Roman"/>
        </w:rPr>
      </w:pPr>
    </w:p>
    <w:p w14:paraId="5462A421" w14:textId="12DF5EFC" w:rsidR="00B15860" w:rsidRPr="00B15860" w:rsidRDefault="00B15860" w:rsidP="00B15860">
      <w:pPr>
        <w:pStyle w:val="paragraph"/>
        <w:spacing w:before="0" w:beforeAutospacing="0" w:after="0" w:afterAutospacing="0"/>
        <w:ind w:left="360"/>
        <w:textAlignment w:val="baseline"/>
        <w:rPr>
          <w:rFonts w:eastAsia="Times New Roman"/>
        </w:rPr>
      </w:pPr>
      <w:r>
        <w:rPr>
          <w:rFonts w:eastAsia="Times New Roman"/>
        </w:rPr>
        <w:t xml:space="preserve">R: </w:t>
      </w:r>
      <w:r w:rsidRPr="00B15860">
        <w:rPr>
          <w:rFonts w:eastAsia="Times New Roman"/>
        </w:rPr>
        <w:t xml:space="preserve">In accordance with the COR’s technical monitoring responsibilities, the COR would evaluate the post-award revision, in order to determine whether it is still considered acceptable.  </w:t>
      </w:r>
    </w:p>
    <w:p w14:paraId="673F787A" w14:textId="77777777" w:rsidR="00B15860" w:rsidRPr="00B15860" w:rsidRDefault="00B15860" w:rsidP="00B15860">
      <w:pPr>
        <w:pStyle w:val="paragraph"/>
        <w:spacing w:before="0" w:beforeAutospacing="0" w:after="0" w:afterAutospacing="0"/>
        <w:ind w:left="720"/>
        <w:textAlignment w:val="baseline"/>
        <w:rPr>
          <w:rFonts w:eastAsia="Times New Roman"/>
        </w:rPr>
      </w:pPr>
    </w:p>
    <w:p w14:paraId="08FDCF25" w14:textId="00869E32" w:rsidR="00B15860" w:rsidRPr="00B15860" w:rsidRDefault="00B15860" w:rsidP="00B15860">
      <w:pPr>
        <w:pStyle w:val="paragraph"/>
        <w:numPr>
          <w:ilvl w:val="0"/>
          <w:numId w:val="1"/>
        </w:numPr>
        <w:spacing w:before="0" w:beforeAutospacing="0" w:after="0" w:afterAutospacing="0"/>
        <w:ind w:left="360"/>
        <w:textAlignment w:val="baseline"/>
        <w:rPr>
          <w:rFonts w:eastAsia="Times New Roman"/>
        </w:rPr>
      </w:pPr>
      <w:r>
        <w:rPr>
          <w:rFonts w:eastAsia="Times New Roman"/>
          <w:b/>
          <w:bCs/>
        </w:rPr>
        <w:t xml:space="preserve">Q: </w:t>
      </w:r>
      <w:r w:rsidRPr="00B15860">
        <w:rPr>
          <w:rFonts w:eastAsia="Times New Roman"/>
          <w:b/>
          <w:bCs/>
        </w:rPr>
        <w:t>If the offeror has questions prior to contract award, who should they contact?</w:t>
      </w:r>
    </w:p>
    <w:p w14:paraId="0C00645C" w14:textId="77777777" w:rsidR="00B15860" w:rsidRPr="00B15860" w:rsidRDefault="00B15860" w:rsidP="00B15860">
      <w:pPr>
        <w:pStyle w:val="paragraph"/>
        <w:spacing w:before="0" w:beforeAutospacing="0" w:after="0" w:afterAutospacing="0"/>
        <w:ind w:left="720"/>
        <w:textAlignment w:val="baseline"/>
        <w:rPr>
          <w:rFonts w:eastAsia="Times New Roman"/>
        </w:rPr>
      </w:pPr>
    </w:p>
    <w:p w14:paraId="0616CD74" w14:textId="5B92271C" w:rsidR="00B15860" w:rsidRPr="00B15860" w:rsidRDefault="00B15860" w:rsidP="00B15860">
      <w:pPr>
        <w:pStyle w:val="paragraph"/>
        <w:spacing w:before="0" w:beforeAutospacing="0" w:after="0" w:afterAutospacing="0"/>
        <w:ind w:left="360"/>
        <w:textAlignment w:val="baseline"/>
        <w:rPr>
          <w:rFonts w:eastAsia="Times New Roman"/>
        </w:rPr>
      </w:pPr>
      <w:r>
        <w:rPr>
          <w:rFonts w:eastAsia="Times New Roman"/>
        </w:rPr>
        <w:lastRenderedPageBreak/>
        <w:t xml:space="preserve">R: </w:t>
      </w:r>
      <w:r w:rsidRPr="00B15860">
        <w:rPr>
          <w:rFonts w:eastAsia="Times New Roman"/>
        </w:rPr>
        <w:t>Prior to contract award all questions/comments regarding the solicitation or award, including the DMS Plan, shall be submitted to the Contracting Officer (CO) referenced in the solicitation.</w:t>
      </w:r>
    </w:p>
    <w:p w14:paraId="33D49F2D" w14:textId="77777777" w:rsidR="00B15860" w:rsidRPr="00B15860" w:rsidRDefault="00B15860" w:rsidP="00B15860">
      <w:pPr>
        <w:pStyle w:val="paragraph"/>
        <w:spacing w:before="0" w:beforeAutospacing="0" w:after="0" w:afterAutospacing="0"/>
        <w:ind w:left="720"/>
        <w:textAlignment w:val="baseline"/>
        <w:rPr>
          <w:rFonts w:eastAsia="Times New Roman"/>
          <w:b/>
          <w:bCs/>
        </w:rPr>
      </w:pPr>
    </w:p>
    <w:p w14:paraId="7EEB587C" w14:textId="6DCDE4E4" w:rsidR="00B15860" w:rsidRPr="00B15860" w:rsidRDefault="00B15860" w:rsidP="00B15860">
      <w:pPr>
        <w:pStyle w:val="paragraph"/>
        <w:numPr>
          <w:ilvl w:val="0"/>
          <w:numId w:val="1"/>
        </w:numPr>
        <w:spacing w:before="0" w:beforeAutospacing="0" w:after="0" w:afterAutospacing="0"/>
        <w:ind w:left="360"/>
        <w:textAlignment w:val="baseline"/>
        <w:rPr>
          <w:rFonts w:eastAsia="Times New Roman"/>
          <w:b/>
          <w:bCs/>
        </w:rPr>
      </w:pPr>
      <w:bookmarkStart w:id="1" w:name="_Hlk107337146"/>
      <w:r>
        <w:rPr>
          <w:rFonts w:eastAsia="Times New Roman"/>
          <w:b/>
          <w:bCs/>
        </w:rPr>
        <w:t xml:space="preserve">Q: </w:t>
      </w:r>
      <w:r w:rsidRPr="00B15860">
        <w:rPr>
          <w:rFonts w:eastAsia="Times New Roman"/>
          <w:b/>
          <w:bCs/>
        </w:rPr>
        <w:t>When is the data obtained through research projects expected to be shared?</w:t>
      </w:r>
    </w:p>
    <w:p w14:paraId="25AE96C4" w14:textId="77777777" w:rsidR="00B15860" w:rsidRPr="00B15860" w:rsidRDefault="00B15860" w:rsidP="00B15860">
      <w:pPr>
        <w:pStyle w:val="paragraph"/>
        <w:spacing w:before="0" w:beforeAutospacing="0" w:after="0" w:afterAutospacing="0"/>
        <w:ind w:left="720"/>
        <w:textAlignment w:val="baseline"/>
        <w:rPr>
          <w:rFonts w:eastAsia="Times New Roman"/>
        </w:rPr>
      </w:pPr>
    </w:p>
    <w:p w14:paraId="35DAB1A6" w14:textId="6C48731E" w:rsidR="00B15860" w:rsidRPr="00B15860" w:rsidRDefault="00B15860" w:rsidP="00B15860">
      <w:pPr>
        <w:pStyle w:val="paragraph"/>
        <w:spacing w:before="0" w:beforeAutospacing="0" w:after="0" w:afterAutospacing="0"/>
        <w:ind w:left="360"/>
        <w:rPr>
          <w:rFonts w:eastAsia="Times New Roman"/>
        </w:rPr>
      </w:pPr>
      <w:r>
        <w:rPr>
          <w:rFonts w:eastAsia="Times New Roman"/>
        </w:rPr>
        <w:t xml:space="preserve">R: </w:t>
      </w:r>
      <w:r w:rsidRPr="00B15860">
        <w:rPr>
          <w:rFonts w:eastAsia="Times New Roman"/>
        </w:rPr>
        <w:t>Scientific data should be made accessible as soon as possible, and no later than the time of an associated publication or the end of the award period, whichever comes first. The DMS Policy expects scientific data to be shared at the earlier of:  </w:t>
      </w:r>
    </w:p>
    <w:p w14:paraId="21DDFBFB" w14:textId="77777777" w:rsidR="00B15860" w:rsidRPr="00B15860" w:rsidRDefault="00B15860" w:rsidP="00B15860">
      <w:pPr>
        <w:pStyle w:val="paragraph"/>
        <w:spacing w:before="0" w:beforeAutospacing="0" w:after="0" w:afterAutospacing="0"/>
        <w:ind w:left="360"/>
        <w:rPr>
          <w:rFonts w:eastAsia="Times New Roman"/>
          <w:u w:val="single"/>
        </w:rPr>
      </w:pPr>
    </w:p>
    <w:p w14:paraId="5C189B62" w14:textId="77777777" w:rsidR="00B15860" w:rsidRPr="00B15860" w:rsidRDefault="00B15860" w:rsidP="00B15860">
      <w:pPr>
        <w:pStyle w:val="paragraph"/>
        <w:numPr>
          <w:ilvl w:val="3"/>
          <w:numId w:val="8"/>
        </w:numPr>
        <w:tabs>
          <w:tab w:val="left" w:pos="2997"/>
        </w:tabs>
        <w:spacing w:before="0" w:beforeAutospacing="0" w:after="0" w:afterAutospacing="0"/>
        <w:ind w:left="1080"/>
        <w:rPr>
          <w:rFonts w:eastAsia="Times New Roman"/>
        </w:rPr>
      </w:pPr>
      <w:r w:rsidRPr="00B15860">
        <w:rPr>
          <w:rFonts w:eastAsia="Times New Roman"/>
          <w:u w:val="single"/>
        </w:rPr>
        <w:t>The time of an associated publication</w:t>
      </w:r>
      <w:r w:rsidRPr="00B15860">
        <w:rPr>
          <w:rFonts w:eastAsia="Times New Roman"/>
        </w:rPr>
        <w:t>:  Scientific data underlying peer-reviewed journal articles should be made accessible no later than the date on which the peer-reviewed article is first made available in print or electronic format.</w:t>
      </w:r>
    </w:p>
    <w:p w14:paraId="370DD837" w14:textId="77777777" w:rsidR="00B15860" w:rsidRPr="00B15860" w:rsidRDefault="00B15860" w:rsidP="00B15860">
      <w:pPr>
        <w:pStyle w:val="paragraph"/>
        <w:tabs>
          <w:tab w:val="left" w:pos="2997"/>
        </w:tabs>
        <w:spacing w:before="0" w:beforeAutospacing="0" w:after="0" w:afterAutospacing="0"/>
        <w:ind w:left="1080"/>
        <w:rPr>
          <w:rFonts w:eastAsia="Times New Roman"/>
        </w:rPr>
      </w:pPr>
    </w:p>
    <w:p w14:paraId="292C991D" w14:textId="77777777" w:rsidR="00B15860" w:rsidRPr="00B15860" w:rsidRDefault="00B15860" w:rsidP="00B15860">
      <w:pPr>
        <w:pStyle w:val="paragraph"/>
        <w:numPr>
          <w:ilvl w:val="3"/>
          <w:numId w:val="8"/>
        </w:numPr>
        <w:tabs>
          <w:tab w:val="left" w:pos="2997"/>
        </w:tabs>
        <w:spacing w:before="0" w:beforeAutospacing="0" w:after="0" w:afterAutospacing="0"/>
        <w:ind w:left="1080"/>
        <w:rPr>
          <w:rFonts w:eastAsia="Times New Roman"/>
        </w:rPr>
      </w:pPr>
      <w:r w:rsidRPr="00B15860">
        <w:rPr>
          <w:rFonts w:eastAsia="Times New Roman"/>
          <w:u w:val="single"/>
        </w:rPr>
        <w:t>The end of the performance period:</w:t>
      </w:r>
      <w:r w:rsidRPr="00B15860">
        <w:rPr>
          <w:rFonts w:eastAsia="Times New Roman"/>
        </w:rPr>
        <w:t xml:space="preserve"> Scientific data underlying findings not disseminated through peer-reviewed journal articles should be shared as soon as possible and no later than the end of the performance period. These scientific data may underlie unpublished key findings, developments, and conclusions; or findings documented within preprints, conference proceedings, or book chapters. For example, scientific data underlying null and negative findings are important to share even though these key findings are not always published.  Researchers should be aware that some preprint servers may require the sharing of data upon preprint posting, and repositories storing data may similarly require public release of data upon preprint posting.</w:t>
      </w:r>
    </w:p>
    <w:p w14:paraId="2EFAACED" w14:textId="77777777" w:rsidR="00B15860" w:rsidRPr="00B15860" w:rsidRDefault="00B15860" w:rsidP="00B15860">
      <w:pPr>
        <w:pStyle w:val="paragraph"/>
        <w:spacing w:before="0" w:beforeAutospacing="0" w:after="0" w:afterAutospacing="0"/>
        <w:ind w:left="360"/>
        <w:rPr>
          <w:rFonts w:eastAsia="Times New Roman"/>
        </w:rPr>
      </w:pPr>
    </w:p>
    <w:p w14:paraId="61C8CD32" w14:textId="77777777" w:rsidR="00B15860" w:rsidRPr="00B15860" w:rsidRDefault="00000000" w:rsidP="00B15860">
      <w:pPr>
        <w:pStyle w:val="paragraph"/>
        <w:spacing w:before="0" w:beforeAutospacing="0" w:after="0" w:afterAutospacing="0"/>
        <w:ind w:left="360"/>
        <w:rPr>
          <w:rFonts w:eastAsia="Times New Roman"/>
        </w:rPr>
      </w:pPr>
      <w:hyperlink r:id="rId6" w:history="1">
        <w:r w:rsidR="00B15860" w:rsidRPr="00B15860">
          <w:rPr>
            <w:rStyle w:val="Hyperlink"/>
            <w:rFonts w:eastAsia="Times New Roman"/>
            <w:color w:val="auto"/>
          </w:rPr>
          <w:t>NIH Institutes, Centers and Offices (ICOs)</w:t>
        </w:r>
      </w:hyperlink>
      <w:r w:rsidR="00B15860" w:rsidRPr="00B15860">
        <w:rPr>
          <w:rFonts w:eastAsia="Times New Roman"/>
        </w:rPr>
        <w:t xml:space="preserve">, funding opportunity announcements (FOAs), and other NIH policies (e.g., the </w:t>
      </w:r>
      <w:hyperlink r:id="rId7" w:history="1">
        <w:r w:rsidR="00B15860" w:rsidRPr="00B15860">
          <w:rPr>
            <w:rStyle w:val="Hyperlink"/>
            <w:rFonts w:eastAsia="Times New Roman"/>
            <w:color w:val="auto"/>
          </w:rPr>
          <w:t>Genomic Data Sharing Policy</w:t>
        </w:r>
      </w:hyperlink>
      <w:r w:rsidR="00B15860" w:rsidRPr="00B15860">
        <w:rPr>
          <w:rFonts w:eastAsia="Times New Roman"/>
        </w:rPr>
        <w:t xml:space="preserve">) may specify earlier expectations for data sharing timelines, in which case, the data should be made available as required by those expectations. </w:t>
      </w:r>
      <w:bookmarkStart w:id="2" w:name="_Hlk107337102"/>
      <w:r w:rsidR="00B15860" w:rsidRPr="00B15860">
        <w:rPr>
          <w:rFonts w:eastAsia="Times New Roman"/>
        </w:rPr>
        <w:t>To ensure compliance with the DMS Plan, COs shall include the timeframe for data sharing in all applicable contract deliverables.</w:t>
      </w:r>
      <w:bookmarkEnd w:id="2"/>
    </w:p>
    <w:bookmarkEnd w:id="1"/>
    <w:p w14:paraId="6F74F3D8" w14:textId="77777777" w:rsidR="00B15860" w:rsidRPr="00B15860" w:rsidRDefault="00B15860" w:rsidP="00B15860">
      <w:pPr>
        <w:pStyle w:val="paragraph"/>
        <w:spacing w:before="0" w:beforeAutospacing="0" w:after="0" w:afterAutospacing="0"/>
        <w:ind w:left="720"/>
        <w:textAlignment w:val="baseline"/>
        <w:rPr>
          <w:rFonts w:eastAsia="Times New Roman"/>
          <w:b/>
          <w:bCs/>
        </w:rPr>
      </w:pPr>
    </w:p>
    <w:p w14:paraId="74BB88E5" w14:textId="0B396A52" w:rsidR="00B15860" w:rsidRPr="00B15860" w:rsidRDefault="00B15860" w:rsidP="00B15860">
      <w:pPr>
        <w:pStyle w:val="paragraph"/>
        <w:numPr>
          <w:ilvl w:val="0"/>
          <w:numId w:val="1"/>
        </w:numPr>
        <w:spacing w:before="0" w:beforeAutospacing="0" w:after="0" w:afterAutospacing="0"/>
        <w:ind w:left="360"/>
        <w:textAlignment w:val="baseline"/>
        <w:rPr>
          <w:rFonts w:eastAsia="Times New Roman"/>
          <w:b/>
          <w:bCs/>
        </w:rPr>
      </w:pPr>
      <w:r>
        <w:rPr>
          <w:rFonts w:eastAsia="Times New Roman"/>
          <w:b/>
          <w:bCs/>
        </w:rPr>
        <w:t xml:space="preserve">Q: </w:t>
      </w:r>
      <w:r w:rsidRPr="00B15860">
        <w:rPr>
          <w:rFonts w:eastAsia="Times New Roman"/>
          <w:b/>
          <w:bCs/>
        </w:rPr>
        <w:t>Is “To Be Determined” an acceptable response to DMS Plan elements for a contract?</w:t>
      </w:r>
    </w:p>
    <w:p w14:paraId="597FBAE4" w14:textId="77777777" w:rsidR="00B15860" w:rsidRPr="00B15860" w:rsidRDefault="00B15860" w:rsidP="00B15860">
      <w:pPr>
        <w:pStyle w:val="paragraph"/>
        <w:spacing w:before="0" w:beforeAutospacing="0" w:after="0" w:afterAutospacing="0"/>
        <w:ind w:left="720"/>
        <w:textAlignment w:val="baseline"/>
        <w:rPr>
          <w:rFonts w:eastAsia="Times New Roman"/>
        </w:rPr>
      </w:pPr>
    </w:p>
    <w:p w14:paraId="1431A6DB" w14:textId="54189603" w:rsidR="00B15860" w:rsidRPr="00B15860" w:rsidRDefault="00B15860" w:rsidP="00B7386D">
      <w:pPr>
        <w:pStyle w:val="paragraph"/>
        <w:spacing w:before="0" w:beforeAutospacing="0" w:after="0" w:afterAutospacing="0"/>
        <w:ind w:left="342"/>
        <w:textAlignment w:val="baseline"/>
        <w:rPr>
          <w:rFonts w:eastAsia="Times New Roman"/>
        </w:rPr>
      </w:pPr>
      <w:r>
        <w:rPr>
          <w:rFonts w:eastAsia="Times New Roman"/>
        </w:rPr>
        <w:t xml:space="preserve">R: </w:t>
      </w:r>
      <w:r w:rsidRPr="00B15860">
        <w:rPr>
          <w:rFonts w:eastAsia="Times New Roman"/>
        </w:rPr>
        <w:t>Offerors may not have all details at proposal development, but they are encouraged to fill out the DMS Plan to the best of their knowledge and ability, so the Plan may be appropriately assessed for acceptability. As indicated in the DMS Policy, offerors will have opportunities to update their Plans throughout the course of their contract(s), subject to NIH staff approval, as per Section VI, Data Management and Sharing Plans, first paragraph.</w:t>
      </w:r>
    </w:p>
    <w:p w14:paraId="4FDAD3DC" w14:textId="77777777" w:rsidR="00B15860" w:rsidRPr="00B15860" w:rsidRDefault="00B15860" w:rsidP="00B15860">
      <w:pPr>
        <w:pStyle w:val="paragraph"/>
        <w:spacing w:before="0" w:beforeAutospacing="0" w:after="0" w:afterAutospacing="0"/>
        <w:ind w:left="720"/>
        <w:textAlignment w:val="baseline"/>
        <w:rPr>
          <w:rFonts w:eastAsia="Times New Roman"/>
          <w:b/>
          <w:bCs/>
        </w:rPr>
      </w:pPr>
    </w:p>
    <w:p w14:paraId="18FE7086" w14:textId="54C13855" w:rsidR="00B15860" w:rsidRPr="00B15860" w:rsidRDefault="00B15860" w:rsidP="00B15860">
      <w:pPr>
        <w:pStyle w:val="paragraph"/>
        <w:numPr>
          <w:ilvl w:val="0"/>
          <w:numId w:val="1"/>
        </w:numPr>
        <w:spacing w:before="0" w:beforeAutospacing="0" w:after="0" w:afterAutospacing="0"/>
        <w:ind w:left="360"/>
        <w:textAlignment w:val="baseline"/>
        <w:rPr>
          <w:rFonts w:eastAsia="Times New Roman"/>
          <w:b/>
          <w:bCs/>
        </w:rPr>
      </w:pPr>
      <w:r>
        <w:rPr>
          <w:rFonts w:eastAsia="Times New Roman"/>
          <w:b/>
          <w:bCs/>
        </w:rPr>
        <w:t xml:space="preserve">Q: </w:t>
      </w:r>
      <w:r w:rsidRPr="00B15860">
        <w:rPr>
          <w:rFonts w:eastAsia="Times New Roman"/>
          <w:b/>
          <w:bCs/>
        </w:rPr>
        <w:t xml:space="preserve">How will an offeror’s history or experience of data sharing or lack thereof be considered for future contracts? </w:t>
      </w:r>
    </w:p>
    <w:p w14:paraId="742F70BC" w14:textId="77777777" w:rsidR="00B15860" w:rsidRPr="00B15860" w:rsidRDefault="00B15860" w:rsidP="00B15860">
      <w:pPr>
        <w:pStyle w:val="paragraph"/>
        <w:spacing w:before="0" w:beforeAutospacing="0" w:after="0" w:afterAutospacing="0"/>
        <w:ind w:left="720"/>
        <w:textAlignment w:val="baseline"/>
        <w:rPr>
          <w:rFonts w:eastAsia="Times New Roman"/>
        </w:rPr>
      </w:pPr>
    </w:p>
    <w:p w14:paraId="5B04D501" w14:textId="10B50B2A" w:rsidR="00B15860" w:rsidRPr="00B15860" w:rsidRDefault="00B15860" w:rsidP="00B7386D">
      <w:pPr>
        <w:pStyle w:val="paragraph"/>
        <w:spacing w:before="0" w:beforeAutospacing="0" w:after="0" w:afterAutospacing="0"/>
        <w:ind w:left="360"/>
        <w:textAlignment w:val="baseline"/>
        <w:rPr>
          <w:rFonts w:eastAsia="Times New Roman"/>
        </w:rPr>
      </w:pPr>
      <w:r>
        <w:rPr>
          <w:rFonts w:eastAsia="Times New Roman"/>
        </w:rPr>
        <w:t xml:space="preserve">R: </w:t>
      </w:r>
      <w:r w:rsidRPr="00B15860">
        <w:rPr>
          <w:rFonts w:eastAsia="Times New Roman"/>
        </w:rPr>
        <w:t xml:space="preserve">The DMS Policy, NOT-OD-21-013 states, “after the end of the funding period, non-compliance with the NIH ICO-approved Plan may be taken into account by NIH for future funding decisions for the recipient institution.” Within contracts, enforceability of the DMS </w:t>
      </w:r>
      <w:r w:rsidRPr="00B15860">
        <w:rPr>
          <w:rFonts w:eastAsia="Times New Roman"/>
        </w:rPr>
        <w:lastRenderedPageBreak/>
        <w:t xml:space="preserve">Plan does not extend beyond the period of performance of the contract. COs are encouraged to use alternative means of evaluating an offeror’s history of data management and sharing outside the performance period of a contract (e.g., DMS questionnaire (data management and sharing history) could be provided to offerors in solicitations and use of Contractor Performance Assessment Reporting System (CPARS) to capture DMS during contract performance). </w:t>
      </w:r>
    </w:p>
    <w:p w14:paraId="2B7BC417" w14:textId="7572C524" w:rsidR="007365CC" w:rsidRDefault="007365CC" w:rsidP="00DF169F">
      <w:pPr>
        <w:spacing w:after="0" w:line="240" w:lineRule="auto"/>
        <w:rPr>
          <w:rFonts w:ascii="Roboto Medium" w:hAnsi="Roboto Medium" w:cs="Times New Roman"/>
          <w:sz w:val="26"/>
          <w:szCs w:val="26"/>
        </w:rPr>
      </w:pPr>
    </w:p>
    <w:p w14:paraId="78EA4C30" w14:textId="4DEA80D6" w:rsidR="00BA5AA4" w:rsidRPr="00AD4172" w:rsidRDefault="00BA5AA4" w:rsidP="00BA5AA4">
      <w:pPr>
        <w:pStyle w:val="ListParagraph"/>
        <w:numPr>
          <w:ilvl w:val="0"/>
          <w:numId w:val="1"/>
        </w:numPr>
        <w:spacing w:after="0" w:line="240" w:lineRule="auto"/>
        <w:ind w:left="360"/>
        <w:textAlignment w:val="center"/>
        <w:rPr>
          <w:rFonts w:ascii="Times New Roman" w:eastAsia="Times New Roman" w:hAnsi="Times New Roman" w:cs="Times New Roman"/>
          <w:b/>
          <w:bCs/>
          <w:sz w:val="24"/>
          <w:szCs w:val="24"/>
        </w:rPr>
      </w:pPr>
      <w:r w:rsidRPr="00AD4172">
        <w:rPr>
          <w:rFonts w:ascii="Times New Roman" w:eastAsia="Times New Roman" w:hAnsi="Times New Roman" w:cs="Times New Roman"/>
          <w:b/>
          <w:bCs/>
          <w:sz w:val="24"/>
          <w:szCs w:val="24"/>
        </w:rPr>
        <w:t>Q: How should current Indefinite Delivery Indefinite Quantity (IDIQ) contracts with future task order awards that will generate scientific data be handled?</w:t>
      </w:r>
    </w:p>
    <w:p w14:paraId="4F79D56F" w14:textId="77777777" w:rsidR="00BA5AA4" w:rsidRPr="00AD4172" w:rsidRDefault="00BA5AA4" w:rsidP="00BA5AA4">
      <w:pPr>
        <w:spacing w:after="0" w:line="240" w:lineRule="auto"/>
        <w:ind w:left="360"/>
        <w:rPr>
          <w:rFonts w:ascii="Times New Roman" w:eastAsia="Times New Roman" w:hAnsi="Times New Roman" w:cs="Times New Roman"/>
          <w:sz w:val="24"/>
          <w:szCs w:val="24"/>
        </w:rPr>
      </w:pPr>
      <w:r w:rsidRPr="00AD4172">
        <w:rPr>
          <w:rFonts w:ascii="Times New Roman" w:eastAsia="Times New Roman" w:hAnsi="Times New Roman" w:cs="Times New Roman"/>
          <w:sz w:val="24"/>
          <w:szCs w:val="24"/>
        </w:rPr>
        <w:t> </w:t>
      </w:r>
    </w:p>
    <w:p w14:paraId="0FFDD0E1" w14:textId="0EFE362B" w:rsidR="00BA5AA4" w:rsidRPr="00AD4172" w:rsidRDefault="00BA5AA4" w:rsidP="00BA5AA4">
      <w:pPr>
        <w:spacing w:after="0" w:line="240" w:lineRule="auto"/>
        <w:ind w:left="360"/>
        <w:rPr>
          <w:rFonts w:ascii="Times New Roman" w:eastAsia="Times New Roman" w:hAnsi="Times New Roman" w:cs="Times New Roman"/>
          <w:sz w:val="24"/>
          <w:szCs w:val="24"/>
        </w:rPr>
      </w:pPr>
      <w:r w:rsidRPr="00AD4172">
        <w:rPr>
          <w:rFonts w:ascii="Times New Roman" w:eastAsia="Times New Roman" w:hAnsi="Times New Roman" w:cs="Times New Roman"/>
          <w:sz w:val="24"/>
          <w:szCs w:val="24"/>
        </w:rPr>
        <w:t>R: Task order proposals, for work that will generate scientific data, submitted on or after January 25, 2023 are subject to DMS policy</w:t>
      </w:r>
      <w:hyperlink r:id="rId8" w:history="1">
        <w:r w:rsidRPr="00AD4172">
          <w:rPr>
            <w:rStyle w:val="Hyperlink"/>
            <w:rFonts w:ascii="Times New Roman" w:eastAsia="Times New Roman" w:hAnsi="Times New Roman" w:cs="Times New Roman"/>
            <w:sz w:val="24"/>
            <w:szCs w:val="24"/>
          </w:rPr>
          <w:t>NOT-OD-21-013</w:t>
        </w:r>
      </w:hyperlink>
      <w:r w:rsidRPr="00AD4172">
        <w:rPr>
          <w:rFonts w:ascii="Times New Roman" w:eastAsia="Times New Roman" w:hAnsi="Times New Roman" w:cs="Times New Roman"/>
          <w:sz w:val="24"/>
          <w:szCs w:val="24"/>
        </w:rPr>
        <w:t xml:space="preserve">. If the IDIQ contract was awarded or proposals submitted prior to January 25, 2023, and the task order(s) is/are subject to DMS policy </w:t>
      </w:r>
      <w:hyperlink r:id="rId9" w:history="1">
        <w:r w:rsidRPr="00AD4172">
          <w:rPr>
            <w:rStyle w:val="Hyperlink"/>
            <w:rFonts w:ascii="Times New Roman" w:eastAsia="Times New Roman" w:hAnsi="Times New Roman" w:cs="Times New Roman"/>
            <w:sz w:val="24"/>
            <w:szCs w:val="24"/>
          </w:rPr>
          <w:t>NOT-OD-21-013</w:t>
        </w:r>
      </w:hyperlink>
      <w:r w:rsidRPr="00AD4172">
        <w:rPr>
          <w:rFonts w:ascii="Calibri" w:eastAsia="Times New Roman" w:hAnsi="Calibri" w:cs="Calibri"/>
          <w:sz w:val="24"/>
          <w:szCs w:val="24"/>
        </w:rPr>
        <w:t xml:space="preserve">,  </w:t>
      </w:r>
      <w:r w:rsidRPr="00AD4172">
        <w:rPr>
          <w:rFonts w:ascii="Times New Roman" w:eastAsia="Times New Roman" w:hAnsi="Times New Roman" w:cs="Times New Roman"/>
          <w:sz w:val="24"/>
          <w:szCs w:val="24"/>
        </w:rPr>
        <w:t xml:space="preserve">the IDIQ contract/solicitation needs to be modified/amended to add the updated DMS policy.  Modifications to IDIQ contracts should only be done if any future task order awards will be subject to the DMS policy. </w:t>
      </w:r>
      <w:r w:rsidRPr="00AD4172">
        <w:rPr>
          <w:rFonts w:ascii="Times New Roman" w:eastAsia="Times New Roman" w:hAnsi="Times New Roman" w:cs="Times New Roman"/>
          <w:color w:val="FA0000"/>
          <w:sz w:val="24"/>
          <w:szCs w:val="24"/>
        </w:rPr>
        <w:t xml:space="preserve"> </w:t>
      </w:r>
      <w:r w:rsidRPr="00AD4172">
        <w:rPr>
          <w:rFonts w:ascii="Times New Roman" w:eastAsia="Times New Roman" w:hAnsi="Times New Roman" w:cs="Times New Roman"/>
          <w:sz w:val="24"/>
          <w:szCs w:val="24"/>
        </w:rPr>
        <w:t xml:space="preserve">Understanding that the generation of research data may vary in each task order, submission of a Data Management and Sharing Plan at the task order level </w:t>
      </w:r>
      <w:r w:rsidR="005437CD" w:rsidRPr="00AD4172">
        <w:rPr>
          <w:rFonts w:ascii="Times New Roman" w:eastAsia="Times New Roman" w:hAnsi="Times New Roman" w:cs="Times New Roman"/>
          <w:sz w:val="24"/>
          <w:szCs w:val="24"/>
        </w:rPr>
        <w:t>will be</w:t>
      </w:r>
      <w:r w:rsidRPr="00AD4172">
        <w:rPr>
          <w:rFonts w:ascii="Times New Roman" w:eastAsia="Times New Roman" w:hAnsi="Times New Roman" w:cs="Times New Roman"/>
          <w:sz w:val="24"/>
          <w:szCs w:val="24"/>
        </w:rPr>
        <w:t xml:space="preserve"> left to the discretion of the Contracting Officer based on t</w:t>
      </w:r>
      <w:r w:rsidR="005437CD" w:rsidRPr="00AD4172">
        <w:rPr>
          <w:rFonts w:ascii="Times New Roman" w:eastAsia="Times New Roman" w:hAnsi="Times New Roman" w:cs="Times New Roman"/>
          <w:sz w:val="24"/>
          <w:szCs w:val="24"/>
        </w:rPr>
        <w:t>heir</w:t>
      </w:r>
      <w:r w:rsidRPr="00AD4172">
        <w:rPr>
          <w:rFonts w:ascii="Times New Roman" w:eastAsia="Times New Roman" w:hAnsi="Times New Roman" w:cs="Times New Roman"/>
          <w:sz w:val="24"/>
          <w:szCs w:val="24"/>
        </w:rPr>
        <w:t xml:space="preserve"> business judgement.  </w:t>
      </w:r>
    </w:p>
    <w:p w14:paraId="1742FB24" w14:textId="77777777" w:rsidR="00BA5AA4" w:rsidRPr="00AD4172" w:rsidRDefault="00BA5AA4" w:rsidP="00BA5AA4">
      <w:pPr>
        <w:spacing w:after="0" w:line="240" w:lineRule="auto"/>
        <w:ind w:left="360"/>
        <w:rPr>
          <w:rFonts w:ascii="Times New Roman" w:eastAsia="Times New Roman" w:hAnsi="Times New Roman" w:cs="Times New Roman"/>
          <w:sz w:val="24"/>
          <w:szCs w:val="24"/>
        </w:rPr>
      </w:pPr>
      <w:r w:rsidRPr="00AD4172">
        <w:rPr>
          <w:rFonts w:ascii="Times New Roman" w:eastAsia="Times New Roman" w:hAnsi="Times New Roman" w:cs="Times New Roman"/>
          <w:sz w:val="24"/>
          <w:szCs w:val="24"/>
        </w:rPr>
        <w:t> </w:t>
      </w:r>
    </w:p>
    <w:p w14:paraId="7FA95EC7" w14:textId="17D2E3F5" w:rsidR="00BA5AA4" w:rsidRPr="00AD4172" w:rsidRDefault="00BA5AA4" w:rsidP="00BA5AA4">
      <w:pPr>
        <w:pStyle w:val="ListParagraph"/>
        <w:numPr>
          <w:ilvl w:val="0"/>
          <w:numId w:val="1"/>
        </w:numPr>
        <w:spacing w:after="0" w:line="240" w:lineRule="auto"/>
        <w:ind w:left="360"/>
        <w:textAlignment w:val="center"/>
        <w:rPr>
          <w:rFonts w:ascii="Times New Roman" w:eastAsia="Times New Roman" w:hAnsi="Times New Roman" w:cs="Times New Roman"/>
          <w:b/>
          <w:bCs/>
          <w:sz w:val="24"/>
          <w:szCs w:val="24"/>
        </w:rPr>
      </w:pPr>
      <w:r w:rsidRPr="00AD4172">
        <w:rPr>
          <w:rFonts w:ascii="Times New Roman" w:eastAsia="Times New Roman" w:hAnsi="Times New Roman" w:cs="Times New Roman"/>
          <w:b/>
          <w:bCs/>
          <w:sz w:val="24"/>
          <w:szCs w:val="24"/>
        </w:rPr>
        <w:t xml:space="preserve">Q: How should contract solicitations that were released prior to August 31, 2022 (release of changes to Genomic Data Sharing plans) that do not incorporate the Implementation Changes for Genomic Data Sharing Plans Included with Applications Due on or after January 25, 2023 </w:t>
      </w:r>
      <w:hyperlink r:id="rId10" w:history="1">
        <w:r w:rsidRPr="00AD4172">
          <w:rPr>
            <w:rStyle w:val="Hyperlink"/>
            <w:rFonts w:ascii="Times New Roman" w:eastAsia="Times New Roman" w:hAnsi="Times New Roman" w:cs="Times New Roman"/>
            <w:b/>
            <w:bCs/>
            <w:sz w:val="24"/>
            <w:szCs w:val="24"/>
          </w:rPr>
          <w:t>NOT-OD-22-198</w:t>
        </w:r>
      </w:hyperlink>
      <w:r w:rsidRPr="00AD4172">
        <w:rPr>
          <w:rFonts w:ascii="Times New Roman" w:eastAsia="Times New Roman" w:hAnsi="Times New Roman" w:cs="Times New Roman"/>
          <w:b/>
          <w:bCs/>
          <w:sz w:val="24"/>
          <w:szCs w:val="24"/>
        </w:rPr>
        <w:t xml:space="preserve"> be handled?</w:t>
      </w:r>
    </w:p>
    <w:p w14:paraId="1FA5FC2B" w14:textId="77777777" w:rsidR="00BA5AA4" w:rsidRPr="00AD4172" w:rsidRDefault="00BA5AA4" w:rsidP="00BA5AA4">
      <w:pPr>
        <w:spacing w:after="0" w:line="240" w:lineRule="auto"/>
        <w:ind w:left="360" w:firstLine="60"/>
        <w:rPr>
          <w:rFonts w:ascii="Times New Roman" w:eastAsia="Times New Roman" w:hAnsi="Times New Roman" w:cs="Times New Roman"/>
          <w:sz w:val="24"/>
          <w:szCs w:val="24"/>
        </w:rPr>
      </w:pPr>
    </w:p>
    <w:p w14:paraId="3DC7CB79" w14:textId="2A506767" w:rsidR="00BA5AA4" w:rsidRPr="00AD4172" w:rsidRDefault="00BA5AA4" w:rsidP="00BA5AA4">
      <w:pPr>
        <w:spacing w:after="0" w:line="240" w:lineRule="auto"/>
        <w:ind w:left="360"/>
        <w:rPr>
          <w:rFonts w:ascii="Times New Roman" w:eastAsia="Times New Roman" w:hAnsi="Times New Roman" w:cs="Times New Roman"/>
          <w:sz w:val="24"/>
          <w:szCs w:val="24"/>
        </w:rPr>
      </w:pPr>
      <w:r w:rsidRPr="00AD4172">
        <w:rPr>
          <w:rFonts w:ascii="Times New Roman" w:eastAsia="Times New Roman" w:hAnsi="Times New Roman" w:cs="Times New Roman"/>
          <w:sz w:val="24"/>
          <w:szCs w:val="24"/>
        </w:rPr>
        <w:t>R: Solicitations posted prior to the release (before August 31, 2022) of the changes to the Genomic Data Sharing Plan (</w:t>
      </w:r>
      <w:hyperlink r:id="rId11" w:history="1">
        <w:r w:rsidRPr="00AD4172">
          <w:rPr>
            <w:rStyle w:val="Hyperlink"/>
            <w:rFonts w:ascii="Times New Roman" w:eastAsia="Times New Roman" w:hAnsi="Times New Roman" w:cs="Times New Roman"/>
            <w:sz w:val="24"/>
            <w:szCs w:val="24"/>
          </w:rPr>
          <w:t>NOT-OD-22-198</w:t>
        </w:r>
      </w:hyperlink>
      <w:r w:rsidRPr="00AD4172">
        <w:rPr>
          <w:rFonts w:ascii="Times New Roman" w:eastAsia="Times New Roman" w:hAnsi="Times New Roman" w:cs="Times New Roman"/>
          <w:sz w:val="24"/>
          <w:szCs w:val="24"/>
        </w:rPr>
        <w:t>), that will result in proposals received on or after January 25, 2023 should be left to the discretion of the Contracting Officer on whether the solicitation should be amended to incorporate the changes to the policy. It is recommended that the Contracting Officer review the applicability of the Genomic Data Sharing policy and use the</w:t>
      </w:r>
      <w:r w:rsidR="005437CD" w:rsidRPr="00AD4172">
        <w:rPr>
          <w:rFonts w:ascii="Times New Roman" w:eastAsia="Times New Roman" w:hAnsi="Times New Roman" w:cs="Times New Roman"/>
          <w:sz w:val="24"/>
          <w:szCs w:val="24"/>
        </w:rPr>
        <w:t>ir</w:t>
      </w:r>
      <w:r w:rsidRPr="00AD4172">
        <w:rPr>
          <w:rFonts w:ascii="Times New Roman" w:eastAsia="Times New Roman" w:hAnsi="Times New Roman" w:cs="Times New Roman"/>
          <w:sz w:val="24"/>
          <w:szCs w:val="24"/>
        </w:rPr>
        <w:t xml:space="preserve"> business judgement to determine whether the solicitation should be amended.  </w:t>
      </w:r>
    </w:p>
    <w:p w14:paraId="34D5B03B" w14:textId="77777777" w:rsidR="00BA5AA4" w:rsidRPr="00AD4172" w:rsidRDefault="00BA5AA4" w:rsidP="00BA5AA4">
      <w:pPr>
        <w:spacing w:after="0" w:line="240" w:lineRule="auto"/>
        <w:ind w:left="360"/>
        <w:rPr>
          <w:rFonts w:ascii="Times New Roman" w:eastAsia="Times New Roman" w:hAnsi="Times New Roman" w:cs="Times New Roman"/>
          <w:sz w:val="24"/>
          <w:szCs w:val="24"/>
        </w:rPr>
      </w:pPr>
      <w:r w:rsidRPr="00AD4172">
        <w:rPr>
          <w:rFonts w:ascii="Times New Roman" w:eastAsia="Times New Roman" w:hAnsi="Times New Roman" w:cs="Times New Roman"/>
          <w:sz w:val="24"/>
          <w:szCs w:val="24"/>
        </w:rPr>
        <w:t> </w:t>
      </w:r>
    </w:p>
    <w:p w14:paraId="04D6A805" w14:textId="5DC806D1" w:rsidR="00BA5AA4" w:rsidRPr="00AD4172" w:rsidRDefault="00BA5AA4" w:rsidP="00BA5AA4">
      <w:pPr>
        <w:pStyle w:val="ListParagraph"/>
        <w:numPr>
          <w:ilvl w:val="0"/>
          <w:numId w:val="1"/>
        </w:numPr>
        <w:spacing w:after="0" w:line="240" w:lineRule="auto"/>
        <w:ind w:left="360"/>
        <w:textAlignment w:val="center"/>
        <w:rPr>
          <w:rFonts w:ascii="Times New Roman" w:eastAsia="Times New Roman" w:hAnsi="Times New Roman" w:cs="Times New Roman"/>
          <w:b/>
          <w:bCs/>
          <w:sz w:val="24"/>
          <w:szCs w:val="24"/>
        </w:rPr>
      </w:pPr>
      <w:r w:rsidRPr="00AD4172">
        <w:rPr>
          <w:rFonts w:ascii="Times New Roman" w:eastAsia="Times New Roman" w:hAnsi="Times New Roman" w:cs="Times New Roman"/>
          <w:b/>
          <w:bCs/>
          <w:sz w:val="24"/>
          <w:szCs w:val="24"/>
        </w:rPr>
        <w:t>Q: For contracts, is a separate Genomic Data Sharing (GDS) Plan still required?</w:t>
      </w:r>
    </w:p>
    <w:p w14:paraId="39F88077" w14:textId="77777777" w:rsidR="00BA5AA4" w:rsidRPr="00AD4172" w:rsidRDefault="00BA5AA4" w:rsidP="00BA5AA4">
      <w:pPr>
        <w:spacing w:after="0" w:line="240" w:lineRule="auto"/>
        <w:ind w:left="360"/>
        <w:rPr>
          <w:rFonts w:ascii="Times New Roman" w:eastAsia="Times New Roman" w:hAnsi="Times New Roman" w:cs="Times New Roman"/>
          <w:sz w:val="24"/>
          <w:szCs w:val="24"/>
        </w:rPr>
      </w:pPr>
      <w:r w:rsidRPr="00AD4172">
        <w:rPr>
          <w:rFonts w:ascii="Times New Roman" w:eastAsia="Times New Roman" w:hAnsi="Times New Roman" w:cs="Times New Roman"/>
          <w:sz w:val="24"/>
          <w:szCs w:val="24"/>
        </w:rPr>
        <w:t> </w:t>
      </w:r>
    </w:p>
    <w:p w14:paraId="0D6514FF" w14:textId="75C89300" w:rsidR="00BA5AA4" w:rsidRPr="00AD4172" w:rsidRDefault="00BA5AA4" w:rsidP="00BA5AA4">
      <w:pPr>
        <w:spacing w:after="0" w:line="240" w:lineRule="auto"/>
        <w:ind w:left="360"/>
        <w:rPr>
          <w:rFonts w:ascii="Times New Roman" w:eastAsia="Times New Roman" w:hAnsi="Times New Roman" w:cs="Times New Roman"/>
          <w:sz w:val="24"/>
          <w:szCs w:val="24"/>
        </w:rPr>
      </w:pPr>
      <w:r w:rsidRPr="00AD4172">
        <w:rPr>
          <w:rFonts w:ascii="Times New Roman" w:eastAsia="Times New Roman" w:hAnsi="Times New Roman" w:cs="Times New Roman"/>
          <w:sz w:val="24"/>
          <w:szCs w:val="24"/>
        </w:rPr>
        <w:t xml:space="preserve">R: Separate Genomic Data Sharing (GDS) plans are no longer required, however, plans for the sharing Genomic Data are to be described in the DMS Plan submitted at the time of proposal submission, consistent with the DMS Policy </w:t>
      </w:r>
      <w:hyperlink r:id="rId12" w:history="1">
        <w:r w:rsidRPr="00AD4172">
          <w:rPr>
            <w:rStyle w:val="Hyperlink"/>
            <w:rFonts w:ascii="Times New Roman" w:eastAsia="Times New Roman" w:hAnsi="Times New Roman" w:cs="Times New Roman"/>
            <w:sz w:val="24"/>
            <w:szCs w:val="24"/>
          </w:rPr>
          <w:t>NOT-OD-21-013</w:t>
        </w:r>
      </w:hyperlink>
      <w:r w:rsidRPr="00AD4172">
        <w:rPr>
          <w:rFonts w:ascii="Calibri" w:eastAsia="Times New Roman" w:hAnsi="Calibri" w:cs="Calibri"/>
          <w:sz w:val="24"/>
          <w:szCs w:val="24"/>
        </w:rPr>
        <w:t xml:space="preserve">. </w:t>
      </w:r>
      <w:r w:rsidRPr="00AD4172">
        <w:rPr>
          <w:rFonts w:ascii="Times New Roman" w:eastAsia="Times New Roman" w:hAnsi="Times New Roman" w:cs="Times New Roman"/>
          <w:sz w:val="24"/>
          <w:szCs w:val="24"/>
        </w:rPr>
        <w:t xml:space="preserve">For more information on the changes to Genomic Data Sharing plans please refer to NIH policy notice </w:t>
      </w:r>
      <w:hyperlink r:id="rId13" w:history="1">
        <w:r w:rsidRPr="00AD4172">
          <w:rPr>
            <w:rStyle w:val="Hyperlink"/>
            <w:rFonts w:ascii="Times New Roman" w:eastAsia="Times New Roman" w:hAnsi="Times New Roman" w:cs="Times New Roman"/>
            <w:sz w:val="24"/>
            <w:szCs w:val="24"/>
          </w:rPr>
          <w:t>NOT-OD-22-198</w:t>
        </w:r>
      </w:hyperlink>
      <w:r w:rsidRPr="00AD4172">
        <w:rPr>
          <w:rFonts w:ascii="Times New Roman" w:eastAsia="Times New Roman" w:hAnsi="Times New Roman" w:cs="Times New Roman"/>
          <w:sz w:val="24"/>
          <w:szCs w:val="24"/>
        </w:rPr>
        <w:t>.</w:t>
      </w:r>
    </w:p>
    <w:p w14:paraId="79E34437" w14:textId="77777777" w:rsidR="00BA5AA4" w:rsidRPr="00AD4172" w:rsidRDefault="00BA5AA4" w:rsidP="00BA5AA4">
      <w:pPr>
        <w:spacing w:after="0" w:line="240" w:lineRule="auto"/>
        <w:ind w:left="360"/>
        <w:rPr>
          <w:rFonts w:ascii="Times New Roman" w:eastAsia="Times New Roman" w:hAnsi="Times New Roman" w:cs="Times New Roman"/>
          <w:sz w:val="24"/>
          <w:szCs w:val="24"/>
        </w:rPr>
      </w:pPr>
      <w:r w:rsidRPr="00AD4172">
        <w:rPr>
          <w:rFonts w:ascii="Times New Roman" w:eastAsia="Times New Roman" w:hAnsi="Times New Roman" w:cs="Times New Roman"/>
          <w:sz w:val="24"/>
          <w:szCs w:val="24"/>
        </w:rPr>
        <w:t> </w:t>
      </w:r>
    </w:p>
    <w:p w14:paraId="1EBCDA0F" w14:textId="71F527B2" w:rsidR="00BA5AA4" w:rsidRPr="00AD4172" w:rsidRDefault="00BA5AA4" w:rsidP="00BA5AA4">
      <w:pPr>
        <w:pStyle w:val="ListParagraph"/>
        <w:numPr>
          <w:ilvl w:val="0"/>
          <w:numId w:val="1"/>
        </w:numPr>
        <w:spacing w:after="0" w:line="240" w:lineRule="auto"/>
        <w:ind w:left="360"/>
        <w:textAlignment w:val="center"/>
        <w:rPr>
          <w:rFonts w:ascii="Times New Roman" w:eastAsia="Times New Roman" w:hAnsi="Times New Roman" w:cs="Times New Roman"/>
          <w:b/>
          <w:bCs/>
          <w:sz w:val="24"/>
          <w:szCs w:val="24"/>
        </w:rPr>
      </w:pPr>
      <w:r w:rsidRPr="00AD4172">
        <w:rPr>
          <w:rFonts w:ascii="Times New Roman" w:eastAsia="Times New Roman" w:hAnsi="Times New Roman" w:cs="Times New Roman"/>
          <w:b/>
          <w:bCs/>
          <w:sz w:val="24"/>
          <w:szCs w:val="24"/>
        </w:rPr>
        <w:t>Q: For contracts are Genomic Data Sharing Plans still peer reviewed?</w:t>
      </w:r>
    </w:p>
    <w:p w14:paraId="4E063077" w14:textId="77777777" w:rsidR="00BA5AA4" w:rsidRPr="00AD4172" w:rsidRDefault="00BA5AA4" w:rsidP="00BA5AA4">
      <w:pPr>
        <w:spacing w:after="0" w:line="240" w:lineRule="auto"/>
        <w:ind w:left="360"/>
        <w:rPr>
          <w:rFonts w:ascii="Times New Roman" w:eastAsia="Times New Roman" w:hAnsi="Times New Roman" w:cs="Times New Roman"/>
          <w:sz w:val="24"/>
          <w:szCs w:val="24"/>
        </w:rPr>
      </w:pPr>
      <w:r w:rsidRPr="00AD4172">
        <w:rPr>
          <w:rFonts w:ascii="Times New Roman" w:eastAsia="Times New Roman" w:hAnsi="Times New Roman" w:cs="Times New Roman"/>
          <w:sz w:val="24"/>
          <w:szCs w:val="24"/>
        </w:rPr>
        <w:t> </w:t>
      </w:r>
    </w:p>
    <w:p w14:paraId="5E7E15DA" w14:textId="6CBF7EA2" w:rsidR="00BA5AA4" w:rsidRPr="00BA5AA4" w:rsidRDefault="00BA5AA4" w:rsidP="00BA5AA4">
      <w:pPr>
        <w:spacing w:after="0" w:line="240" w:lineRule="auto"/>
        <w:ind w:left="360"/>
        <w:rPr>
          <w:rFonts w:ascii="Times New Roman" w:eastAsia="Times New Roman" w:hAnsi="Times New Roman" w:cs="Times New Roman"/>
          <w:sz w:val="24"/>
          <w:szCs w:val="24"/>
        </w:rPr>
      </w:pPr>
      <w:r w:rsidRPr="00AD4172">
        <w:rPr>
          <w:rFonts w:ascii="Times New Roman" w:eastAsia="Times New Roman" w:hAnsi="Times New Roman" w:cs="Times New Roman"/>
          <w:sz w:val="24"/>
          <w:szCs w:val="24"/>
        </w:rPr>
        <w:t xml:space="preserve"> R: As a result of the Implementation Changes for Genomic Data Sharing Plans Included with Applications Due on or after January 25, 2023 </w:t>
      </w:r>
      <w:hyperlink r:id="rId14" w:history="1">
        <w:r w:rsidRPr="00AD4172">
          <w:rPr>
            <w:rStyle w:val="Hyperlink"/>
            <w:rFonts w:ascii="Times New Roman" w:eastAsia="Times New Roman" w:hAnsi="Times New Roman" w:cs="Times New Roman"/>
            <w:sz w:val="24"/>
            <w:szCs w:val="24"/>
          </w:rPr>
          <w:t>NOT-OD-22-198</w:t>
        </w:r>
      </w:hyperlink>
      <w:r w:rsidRPr="00AD4172">
        <w:rPr>
          <w:rFonts w:ascii="Times New Roman" w:eastAsia="Times New Roman" w:hAnsi="Times New Roman" w:cs="Times New Roman"/>
          <w:sz w:val="24"/>
          <w:szCs w:val="24"/>
        </w:rPr>
        <w:t xml:space="preserve">, Genomic Data Sharing </w:t>
      </w:r>
      <w:r w:rsidRPr="00AD4172">
        <w:rPr>
          <w:rFonts w:ascii="Times New Roman" w:eastAsia="Times New Roman" w:hAnsi="Times New Roman" w:cs="Times New Roman"/>
          <w:sz w:val="24"/>
          <w:szCs w:val="24"/>
        </w:rPr>
        <w:lastRenderedPageBreak/>
        <w:t xml:space="preserve">Plans are to be submitted consistent with the Data Management and Sharing  </w:t>
      </w:r>
      <w:hyperlink r:id="rId15" w:history="1">
        <w:r w:rsidRPr="00AD4172">
          <w:rPr>
            <w:rStyle w:val="Hyperlink"/>
            <w:rFonts w:ascii="Times New Roman" w:eastAsia="Times New Roman" w:hAnsi="Times New Roman" w:cs="Times New Roman"/>
            <w:sz w:val="24"/>
            <w:szCs w:val="24"/>
          </w:rPr>
          <w:t>NOT-OD-21-013</w:t>
        </w:r>
      </w:hyperlink>
      <w:r w:rsidRPr="00AD4172">
        <w:rPr>
          <w:rFonts w:ascii="Times New Roman" w:eastAsia="Times New Roman" w:hAnsi="Times New Roman" w:cs="Times New Roman"/>
          <w:sz w:val="24"/>
          <w:szCs w:val="24"/>
        </w:rPr>
        <w:t xml:space="preserve"> and will no longer require peer review.</w:t>
      </w:r>
      <w:r w:rsidRPr="00BA5AA4">
        <w:rPr>
          <w:rFonts w:ascii="Times New Roman" w:eastAsia="Times New Roman" w:hAnsi="Times New Roman" w:cs="Times New Roman"/>
          <w:sz w:val="24"/>
          <w:szCs w:val="24"/>
        </w:rPr>
        <w:t xml:space="preserve"> </w:t>
      </w:r>
    </w:p>
    <w:p w14:paraId="4F01E652" w14:textId="77777777" w:rsidR="00BA5AA4" w:rsidRPr="00BA5AA4" w:rsidRDefault="00BA5AA4" w:rsidP="00BA5AA4">
      <w:pPr>
        <w:spacing w:after="0" w:line="240" w:lineRule="auto"/>
        <w:ind w:left="360"/>
        <w:rPr>
          <w:rFonts w:ascii="Roboto Medium" w:hAnsi="Roboto Medium" w:cs="Times New Roman"/>
          <w:sz w:val="28"/>
          <w:szCs w:val="28"/>
        </w:rPr>
      </w:pPr>
    </w:p>
    <w:sectPr w:rsidR="00BA5AA4" w:rsidRPr="00BA5A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Medium">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4486"/>
    <w:multiLevelType w:val="multilevel"/>
    <w:tmpl w:val="1EAE7CB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DC2866"/>
    <w:multiLevelType w:val="hybridMultilevel"/>
    <w:tmpl w:val="F070A2BA"/>
    <w:lvl w:ilvl="0" w:tplc="38081498">
      <w:start w:val="1"/>
      <w:numFmt w:val="decimal"/>
      <w:lvlText w:val="%1."/>
      <w:lvlJc w:val="left"/>
      <w:pPr>
        <w:ind w:left="720" w:hanging="360"/>
      </w:pPr>
    </w:lvl>
    <w:lvl w:ilvl="1" w:tplc="6C94E05E">
      <w:start w:val="1"/>
      <w:numFmt w:val="lowerLetter"/>
      <w:lvlText w:val="%2."/>
      <w:lvlJc w:val="left"/>
      <w:pPr>
        <w:ind w:left="1440" w:hanging="360"/>
      </w:pPr>
    </w:lvl>
    <w:lvl w:ilvl="2" w:tplc="FEC68CD6">
      <w:start w:val="1"/>
      <w:numFmt w:val="lowerRoman"/>
      <w:lvlText w:val="%3."/>
      <w:lvlJc w:val="right"/>
      <w:pPr>
        <w:ind w:left="2160" w:hanging="180"/>
      </w:pPr>
    </w:lvl>
    <w:lvl w:ilvl="3" w:tplc="7C985DA2">
      <w:start w:val="1"/>
      <w:numFmt w:val="decimal"/>
      <w:lvlText w:val="%4."/>
      <w:lvlJc w:val="left"/>
      <w:pPr>
        <w:ind w:left="2880" w:hanging="360"/>
      </w:pPr>
    </w:lvl>
    <w:lvl w:ilvl="4" w:tplc="8BB6595A">
      <w:start w:val="1"/>
      <w:numFmt w:val="lowerLetter"/>
      <w:lvlText w:val="%5."/>
      <w:lvlJc w:val="left"/>
      <w:pPr>
        <w:ind w:left="3600" w:hanging="360"/>
      </w:pPr>
    </w:lvl>
    <w:lvl w:ilvl="5" w:tplc="6E10C54A">
      <w:start w:val="1"/>
      <w:numFmt w:val="lowerRoman"/>
      <w:lvlText w:val="%6."/>
      <w:lvlJc w:val="right"/>
      <w:pPr>
        <w:ind w:left="4320" w:hanging="180"/>
      </w:pPr>
    </w:lvl>
    <w:lvl w:ilvl="6" w:tplc="38628EF2">
      <w:start w:val="1"/>
      <w:numFmt w:val="decimal"/>
      <w:lvlText w:val="%7."/>
      <w:lvlJc w:val="left"/>
      <w:pPr>
        <w:ind w:left="5040" w:hanging="360"/>
      </w:pPr>
    </w:lvl>
    <w:lvl w:ilvl="7" w:tplc="6010A702">
      <w:start w:val="1"/>
      <w:numFmt w:val="lowerLetter"/>
      <w:lvlText w:val="%8."/>
      <w:lvlJc w:val="left"/>
      <w:pPr>
        <w:ind w:left="5760" w:hanging="360"/>
      </w:pPr>
    </w:lvl>
    <w:lvl w:ilvl="8" w:tplc="A836C0B2">
      <w:start w:val="1"/>
      <w:numFmt w:val="lowerRoman"/>
      <w:lvlText w:val="%9."/>
      <w:lvlJc w:val="right"/>
      <w:pPr>
        <w:ind w:left="6480" w:hanging="180"/>
      </w:pPr>
    </w:lvl>
  </w:abstractNum>
  <w:abstractNum w:abstractNumId="2" w15:restartNumberingAfterBreak="0">
    <w:nsid w:val="141D4825"/>
    <w:multiLevelType w:val="hybridMultilevel"/>
    <w:tmpl w:val="D1E611D2"/>
    <w:lvl w:ilvl="0" w:tplc="02F83FDC">
      <w:start w:val="1"/>
      <w:numFmt w:val="bullet"/>
      <w:lvlText w:val=""/>
      <w:lvlJc w:val="left"/>
      <w:pPr>
        <w:ind w:left="720" w:hanging="360"/>
      </w:pPr>
      <w:rPr>
        <w:rFonts w:ascii="Symbol" w:hAnsi="Symbol" w:hint="default"/>
      </w:rPr>
    </w:lvl>
    <w:lvl w:ilvl="1" w:tplc="2DA80E3E">
      <w:start w:val="1"/>
      <w:numFmt w:val="bullet"/>
      <w:lvlText w:val=""/>
      <w:lvlJc w:val="left"/>
      <w:pPr>
        <w:ind w:left="1440" w:hanging="360"/>
      </w:pPr>
      <w:rPr>
        <w:rFonts w:ascii="Symbol" w:hAnsi="Symbol" w:hint="default"/>
      </w:rPr>
    </w:lvl>
    <w:lvl w:ilvl="2" w:tplc="ACB4FF54">
      <w:start w:val="1"/>
      <w:numFmt w:val="bullet"/>
      <w:lvlText w:val=""/>
      <w:lvlJc w:val="left"/>
      <w:pPr>
        <w:ind w:left="2160" w:hanging="360"/>
      </w:pPr>
      <w:rPr>
        <w:rFonts w:ascii="Wingdings" w:hAnsi="Wingdings" w:hint="default"/>
      </w:rPr>
    </w:lvl>
    <w:lvl w:ilvl="3" w:tplc="C60A12FE">
      <w:start w:val="1"/>
      <w:numFmt w:val="bullet"/>
      <w:lvlText w:val=""/>
      <w:lvlJc w:val="left"/>
      <w:pPr>
        <w:ind w:left="2880" w:hanging="360"/>
      </w:pPr>
      <w:rPr>
        <w:rFonts w:ascii="Symbol" w:hAnsi="Symbol" w:hint="default"/>
      </w:rPr>
    </w:lvl>
    <w:lvl w:ilvl="4" w:tplc="1EFE74DE">
      <w:start w:val="1"/>
      <w:numFmt w:val="bullet"/>
      <w:lvlText w:val="o"/>
      <w:lvlJc w:val="left"/>
      <w:pPr>
        <w:ind w:left="3600" w:hanging="360"/>
      </w:pPr>
      <w:rPr>
        <w:rFonts w:ascii="Courier New" w:hAnsi="Courier New" w:hint="default"/>
      </w:rPr>
    </w:lvl>
    <w:lvl w:ilvl="5" w:tplc="E508FB86">
      <w:start w:val="1"/>
      <w:numFmt w:val="bullet"/>
      <w:lvlText w:val=""/>
      <w:lvlJc w:val="left"/>
      <w:pPr>
        <w:ind w:left="4320" w:hanging="360"/>
      </w:pPr>
      <w:rPr>
        <w:rFonts w:ascii="Wingdings" w:hAnsi="Wingdings" w:hint="default"/>
      </w:rPr>
    </w:lvl>
    <w:lvl w:ilvl="6" w:tplc="FF48021C">
      <w:start w:val="1"/>
      <w:numFmt w:val="bullet"/>
      <w:lvlText w:val=""/>
      <w:lvlJc w:val="left"/>
      <w:pPr>
        <w:ind w:left="5040" w:hanging="360"/>
      </w:pPr>
      <w:rPr>
        <w:rFonts w:ascii="Symbol" w:hAnsi="Symbol" w:hint="default"/>
      </w:rPr>
    </w:lvl>
    <w:lvl w:ilvl="7" w:tplc="55C84142">
      <w:start w:val="1"/>
      <w:numFmt w:val="bullet"/>
      <w:lvlText w:val="o"/>
      <w:lvlJc w:val="left"/>
      <w:pPr>
        <w:ind w:left="5760" w:hanging="360"/>
      </w:pPr>
      <w:rPr>
        <w:rFonts w:ascii="Courier New" w:hAnsi="Courier New" w:hint="default"/>
      </w:rPr>
    </w:lvl>
    <w:lvl w:ilvl="8" w:tplc="04BAB9FA">
      <w:start w:val="1"/>
      <w:numFmt w:val="bullet"/>
      <w:lvlText w:val=""/>
      <w:lvlJc w:val="left"/>
      <w:pPr>
        <w:ind w:left="6480" w:hanging="360"/>
      </w:pPr>
      <w:rPr>
        <w:rFonts w:ascii="Wingdings" w:hAnsi="Wingdings" w:hint="default"/>
      </w:rPr>
    </w:lvl>
  </w:abstractNum>
  <w:abstractNum w:abstractNumId="3" w15:restartNumberingAfterBreak="0">
    <w:nsid w:val="1BCE63E4"/>
    <w:multiLevelType w:val="multilevel"/>
    <w:tmpl w:val="E6746BD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906B41"/>
    <w:multiLevelType w:val="multilevel"/>
    <w:tmpl w:val="BB146C1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7867CE"/>
    <w:multiLevelType w:val="hybridMultilevel"/>
    <w:tmpl w:val="46E63D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2A03BCA"/>
    <w:multiLevelType w:val="multilevel"/>
    <w:tmpl w:val="043027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215B96"/>
    <w:multiLevelType w:val="hybridMultilevel"/>
    <w:tmpl w:val="C37CE37A"/>
    <w:lvl w:ilvl="0" w:tplc="CC6CC1C6">
      <w:start w:val="1"/>
      <w:numFmt w:val="decimal"/>
      <w:lvlText w:val="%1."/>
      <w:lvlJc w:val="left"/>
      <w:pPr>
        <w:ind w:left="720" w:hanging="360"/>
      </w:pPr>
      <w:rPr>
        <w:b w:val="0"/>
        <w:bCs w:val="0"/>
      </w:rPr>
    </w:lvl>
    <w:lvl w:ilvl="1" w:tplc="10E46816">
      <w:start w:val="1"/>
      <w:numFmt w:val="lowerLetter"/>
      <w:lvlText w:val="%2."/>
      <w:lvlJc w:val="left"/>
      <w:pPr>
        <w:ind w:left="1440" w:hanging="360"/>
      </w:pPr>
    </w:lvl>
    <w:lvl w:ilvl="2" w:tplc="B3A8E742">
      <w:start w:val="1"/>
      <w:numFmt w:val="lowerRoman"/>
      <w:lvlText w:val="%3."/>
      <w:lvlJc w:val="right"/>
      <w:pPr>
        <w:ind w:left="2160" w:hanging="180"/>
      </w:pPr>
    </w:lvl>
    <w:lvl w:ilvl="3" w:tplc="75387A4E">
      <w:start w:val="1"/>
      <w:numFmt w:val="decimal"/>
      <w:lvlText w:val="%4."/>
      <w:lvlJc w:val="left"/>
      <w:pPr>
        <w:ind w:left="2880" w:hanging="360"/>
      </w:pPr>
    </w:lvl>
    <w:lvl w:ilvl="4" w:tplc="6BAAAF7C">
      <w:start w:val="1"/>
      <w:numFmt w:val="lowerLetter"/>
      <w:lvlText w:val="%5."/>
      <w:lvlJc w:val="left"/>
      <w:pPr>
        <w:ind w:left="3600" w:hanging="360"/>
      </w:pPr>
    </w:lvl>
    <w:lvl w:ilvl="5" w:tplc="B690647E">
      <w:start w:val="1"/>
      <w:numFmt w:val="lowerRoman"/>
      <w:lvlText w:val="%6."/>
      <w:lvlJc w:val="right"/>
      <w:pPr>
        <w:ind w:left="4320" w:hanging="180"/>
      </w:pPr>
    </w:lvl>
    <w:lvl w:ilvl="6" w:tplc="C0D89CF8">
      <w:start w:val="1"/>
      <w:numFmt w:val="decimal"/>
      <w:lvlText w:val="%7."/>
      <w:lvlJc w:val="left"/>
      <w:pPr>
        <w:ind w:left="5040" w:hanging="360"/>
      </w:pPr>
    </w:lvl>
    <w:lvl w:ilvl="7" w:tplc="67082252">
      <w:start w:val="1"/>
      <w:numFmt w:val="lowerLetter"/>
      <w:lvlText w:val="%8."/>
      <w:lvlJc w:val="left"/>
      <w:pPr>
        <w:ind w:left="5760" w:hanging="360"/>
      </w:pPr>
    </w:lvl>
    <w:lvl w:ilvl="8" w:tplc="06484074">
      <w:start w:val="1"/>
      <w:numFmt w:val="lowerRoman"/>
      <w:lvlText w:val="%9."/>
      <w:lvlJc w:val="right"/>
      <w:pPr>
        <w:ind w:left="6480" w:hanging="180"/>
      </w:pPr>
    </w:lvl>
  </w:abstractNum>
  <w:abstractNum w:abstractNumId="8" w15:restartNumberingAfterBreak="0">
    <w:nsid w:val="53471169"/>
    <w:multiLevelType w:val="hybridMultilevel"/>
    <w:tmpl w:val="7C16EBA8"/>
    <w:lvl w:ilvl="0" w:tplc="CC6CC1C6">
      <w:start w:val="1"/>
      <w:numFmt w:val="decimal"/>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445337"/>
    <w:multiLevelType w:val="multilevel"/>
    <w:tmpl w:val="59547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231A44"/>
    <w:multiLevelType w:val="hybridMultilevel"/>
    <w:tmpl w:val="78CCC68A"/>
    <w:lvl w:ilvl="0" w:tplc="5674FA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07516F"/>
    <w:multiLevelType w:val="multilevel"/>
    <w:tmpl w:val="9202E67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519702280">
    <w:abstractNumId w:val="7"/>
  </w:num>
  <w:num w:numId="2" w16cid:durableId="1720472407">
    <w:abstractNumId w:val="1"/>
  </w:num>
  <w:num w:numId="3" w16cid:durableId="446244313">
    <w:abstractNumId w:val="2"/>
  </w:num>
  <w:num w:numId="4" w16cid:durableId="930087669">
    <w:abstractNumId w:val="8"/>
  </w:num>
  <w:num w:numId="5" w16cid:durableId="45226788">
    <w:abstractNumId w:val="6"/>
  </w:num>
  <w:num w:numId="6" w16cid:durableId="357433648">
    <w:abstractNumId w:val="5"/>
  </w:num>
  <w:num w:numId="7" w16cid:durableId="1465611845">
    <w:abstractNumId w:val="9"/>
  </w:num>
  <w:num w:numId="8" w16cid:durableId="398328618">
    <w:abstractNumId w:val="10"/>
  </w:num>
  <w:num w:numId="9" w16cid:durableId="409547974">
    <w:abstractNumId w:val="4"/>
  </w:num>
  <w:num w:numId="10" w16cid:durableId="946162724">
    <w:abstractNumId w:val="11"/>
  </w:num>
  <w:num w:numId="11" w16cid:durableId="364717131">
    <w:abstractNumId w:val="0"/>
  </w:num>
  <w:num w:numId="12" w16cid:durableId="6561506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31B"/>
    <w:rsid w:val="000011D4"/>
    <w:rsid w:val="00005F0E"/>
    <w:rsid w:val="000108F3"/>
    <w:rsid w:val="00055EB9"/>
    <w:rsid w:val="000847E4"/>
    <w:rsid w:val="000A4030"/>
    <w:rsid w:val="000A49B2"/>
    <w:rsid w:val="00103E33"/>
    <w:rsid w:val="00104DA8"/>
    <w:rsid w:val="00136B2C"/>
    <w:rsid w:val="00136C6D"/>
    <w:rsid w:val="0015009A"/>
    <w:rsid w:val="001522BC"/>
    <w:rsid w:val="00164C7D"/>
    <w:rsid w:val="00167E00"/>
    <w:rsid w:val="0017565B"/>
    <w:rsid w:val="0018070E"/>
    <w:rsid w:val="0019226E"/>
    <w:rsid w:val="0019287B"/>
    <w:rsid w:val="001A4676"/>
    <w:rsid w:val="001B3A05"/>
    <w:rsid w:val="001B3D67"/>
    <w:rsid w:val="00217929"/>
    <w:rsid w:val="00226D42"/>
    <w:rsid w:val="0023284A"/>
    <w:rsid w:val="00236E83"/>
    <w:rsid w:val="00243C61"/>
    <w:rsid w:val="00246196"/>
    <w:rsid w:val="002668E6"/>
    <w:rsid w:val="002755C0"/>
    <w:rsid w:val="00277F17"/>
    <w:rsid w:val="002866E0"/>
    <w:rsid w:val="002B1A8F"/>
    <w:rsid w:val="002B401F"/>
    <w:rsid w:val="002F3D8A"/>
    <w:rsid w:val="00300BA2"/>
    <w:rsid w:val="0033538F"/>
    <w:rsid w:val="003479CF"/>
    <w:rsid w:val="00360CCF"/>
    <w:rsid w:val="00380349"/>
    <w:rsid w:val="003850E1"/>
    <w:rsid w:val="0039522A"/>
    <w:rsid w:val="003B5950"/>
    <w:rsid w:val="003D0E43"/>
    <w:rsid w:val="0041186F"/>
    <w:rsid w:val="00434904"/>
    <w:rsid w:val="00460E38"/>
    <w:rsid w:val="00461B70"/>
    <w:rsid w:val="00474E0B"/>
    <w:rsid w:val="00496B04"/>
    <w:rsid w:val="004A0435"/>
    <w:rsid w:val="004C49D1"/>
    <w:rsid w:val="0050502D"/>
    <w:rsid w:val="0051324E"/>
    <w:rsid w:val="00524B3B"/>
    <w:rsid w:val="005437CD"/>
    <w:rsid w:val="00546C4E"/>
    <w:rsid w:val="00563A20"/>
    <w:rsid w:val="00571FCA"/>
    <w:rsid w:val="00577A1A"/>
    <w:rsid w:val="005A1267"/>
    <w:rsid w:val="005C0975"/>
    <w:rsid w:val="005C3DF2"/>
    <w:rsid w:val="005D01EF"/>
    <w:rsid w:val="005F465C"/>
    <w:rsid w:val="00611C73"/>
    <w:rsid w:val="00660285"/>
    <w:rsid w:val="00683135"/>
    <w:rsid w:val="00683272"/>
    <w:rsid w:val="006A1F34"/>
    <w:rsid w:val="006A30A8"/>
    <w:rsid w:val="006B1BB6"/>
    <w:rsid w:val="006B52CF"/>
    <w:rsid w:val="006B6698"/>
    <w:rsid w:val="006D7F93"/>
    <w:rsid w:val="007036B1"/>
    <w:rsid w:val="00721CE8"/>
    <w:rsid w:val="007365CC"/>
    <w:rsid w:val="0073731B"/>
    <w:rsid w:val="00740F54"/>
    <w:rsid w:val="007448B6"/>
    <w:rsid w:val="007509C1"/>
    <w:rsid w:val="0077249D"/>
    <w:rsid w:val="00791F75"/>
    <w:rsid w:val="007A31DD"/>
    <w:rsid w:val="007B1C16"/>
    <w:rsid w:val="008118C0"/>
    <w:rsid w:val="00814F13"/>
    <w:rsid w:val="00824FF3"/>
    <w:rsid w:val="00826EFF"/>
    <w:rsid w:val="0083315B"/>
    <w:rsid w:val="00843F70"/>
    <w:rsid w:val="00857380"/>
    <w:rsid w:val="0086307E"/>
    <w:rsid w:val="0087465F"/>
    <w:rsid w:val="00877400"/>
    <w:rsid w:val="0088345F"/>
    <w:rsid w:val="008B1D69"/>
    <w:rsid w:val="008C71E1"/>
    <w:rsid w:val="008D2AAC"/>
    <w:rsid w:val="008F53F6"/>
    <w:rsid w:val="00906E5D"/>
    <w:rsid w:val="00982F58"/>
    <w:rsid w:val="009B729E"/>
    <w:rsid w:val="009C023F"/>
    <w:rsid w:val="009C26A6"/>
    <w:rsid w:val="009C4DC8"/>
    <w:rsid w:val="009D1DFE"/>
    <w:rsid w:val="009D6DF6"/>
    <w:rsid w:val="009E6B3D"/>
    <w:rsid w:val="009F65AA"/>
    <w:rsid w:val="00A1307A"/>
    <w:rsid w:val="00A26FCB"/>
    <w:rsid w:val="00A3184D"/>
    <w:rsid w:val="00A47142"/>
    <w:rsid w:val="00A51DCA"/>
    <w:rsid w:val="00A5204A"/>
    <w:rsid w:val="00A55547"/>
    <w:rsid w:val="00A61AB9"/>
    <w:rsid w:val="00A66CFE"/>
    <w:rsid w:val="00A7745E"/>
    <w:rsid w:val="00A81409"/>
    <w:rsid w:val="00AC05FE"/>
    <w:rsid w:val="00AC3AFC"/>
    <w:rsid w:val="00AD4172"/>
    <w:rsid w:val="00AE6B32"/>
    <w:rsid w:val="00AF1A4A"/>
    <w:rsid w:val="00AF4CE9"/>
    <w:rsid w:val="00AF56B6"/>
    <w:rsid w:val="00B02496"/>
    <w:rsid w:val="00B04888"/>
    <w:rsid w:val="00B07218"/>
    <w:rsid w:val="00B1146C"/>
    <w:rsid w:val="00B13B1F"/>
    <w:rsid w:val="00B15860"/>
    <w:rsid w:val="00B4330A"/>
    <w:rsid w:val="00B7386D"/>
    <w:rsid w:val="00B87AF3"/>
    <w:rsid w:val="00B97E87"/>
    <w:rsid w:val="00BA5AA4"/>
    <w:rsid w:val="00BB5112"/>
    <w:rsid w:val="00C11E7F"/>
    <w:rsid w:val="00C43F47"/>
    <w:rsid w:val="00C57993"/>
    <w:rsid w:val="00C67A38"/>
    <w:rsid w:val="00C76674"/>
    <w:rsid w:val="00C8723A"/>
    <w:rsid w:val="00CA27FA"/>
    <w:rsid w:val="00CA3200"/>
    <w:rsid w:val="00CA4258"/>
    <w:rsid w:val="00CC4CAE"/>
    <w:rsid w:val="00D01581"/>
    <w:rsid w:val="00D145EC"/>
    <w:rsid w:val="00D15E87"/>
    <w:rsid w:val="00D265A9"/>
    <w:rsid w:val="00D27F0A"/>
    <w:rsid w:val="00D57BDE"/>
    <w:rsid w:val="00D645F8"/>
    <w:rsid w:val="00D646E8"/>
    <w:rsid w:val="00D72A6C"/>
    <w:rsid w:val="00D75A0F"/>
    <w:rsid w:val="00D82271"/>
    <w:rsid w:val="00D91BA7"/>
    <w:rsid w:val="00DA667D"/>
    <w:rsid w:val="00DC0C67"/>
    <w:rsid w:val="00DC2C49"/>
    <w:rsid w:val="00DC422A"/>
    <w:rsid w:val="00DE1A4E"/>
    <w:rsid w:val="00DF169F"/>
    <w:rsid w:val="00DF3934"/>
    <w:rsid w:val="00E212AD"/>
    <w:rsid w:val="00E44174"/>
    <w:rsid w:val="00E5672D"/>
    <w:rsid w:val="00E60ED4"/>
    <w:rsid w:val="00E76317"/>
    <w:rsid w:val="00E87CAF"/>
    <w:rsid w:val="00E904EB"/>
    <w:rsid w:val="00E9611F"/>
    <w:rsid w:val="00E97EAF"/>
    <w:rsid w:val="00EC4B18"/>
    <w:rsid w:val="00EE3D66"/>
    <w:rsid w:val="00EF4675"/>
    <w:rsid w:val="00EF7725"/>
    <w:rsid w:val="00F14A00"/>
    <w:rsid w:val="00F274A5"/>
    <w:rsid w:val="00F355EA"/>
    <w:rsid w:val="00F6753D"/>
    <w:rsid w:val="00F77A1E"/>
    <w:rsid w:val="00F8141F"/>
    <w:rsid w:val="00F93A82"/>
    <w:rsid w:val="00FB5373"/>
    <w:rsid w:val="00FD66CF"/>
    <w:rsid w:val="00FE161F"/>
    <w:rsid w:val="00FF1ECC"/>
    <w:rsid w:val="00FF7397"/>
    <w:rsid w:val="01085B5D"/>
    <w:rsid w:val="01176625"/>
    <w:rsid w:val="0171A228"/>
    <w:rsid w:val="01750973"/>
    <w:rsid w:val="019C341D"/>
    <w:rsid w:val="019C6A19"/>
    <w:rsid w:val="01D3F6FC"/>
    <w:rsid w:val="022B76DF"/>
    <w:rsid w:val="027D0F11"/>
    <w:rsid w:val="028EFAA6"/>
    <w:rsid w:val="034487BB"/>
    <w:rsid w:val="036778C2"/>
    <w:rsid w:val="0381CBDB"/>
    <w:rsid w:val="0386A2FB"/>
    <w:rsid w:val="03A57432"/>
    <w:rsid w:val="03AFF14C"/>
    <w:rsid w:val="03BD6D7D"/>
    <w:rsid w:val="04456125"/>
    <w:rsid w:val="048505F1"/>
    <w:rsid w:val="04D4A562"/>
    <w:rsid w:val="04F845E5"/>
    <w:rsid w:val="0587D5F8"/>
    <w:rsid w:val="05A26A55"/>
    <w:rsid w:val="05C257F5"/>
    <w:rsid w:val="05D65E77"/>
    <w:rsid w:val="05F0D4F5"/>
    <w:rsid w:val="0605F371"/>
    <w:rsid w:val="06588A49"/>
    <w:rsid w:val="066AE87B"/>
    <w:rsid w:val="0678DF4C"/>
    <w:rsid w:val="06A7681F"/>
    <w:rsid w:val="06BFD124"/>
    <w:rsid w:val="06CBE167"/>
    <w:rsid w:val="06D20040"/>
    <w:rsid w:val="071AE055"/>
    <w:rsid w:val="071D1F53"/>
    <w:rsid w:val="073E3AB6"/>
    <w:rsid w:val="074069DC"/>
    <w:rsid w:val="07E64410"/>
    <w:rsid w:val="082A1023"/>
    <w:rsid w:val="087A69FE"/>
    <w:rsid w:val="08901E79"/>
    <w:rsid w:val="08A41D9F"/>
    <w:rsid w:val="08CD100A"/>
    <w:rsid w:val="0919CB14"/>
    <w:rsid w:val="09416642"/>
    <w:rsid w:val="099938E6"/>
    <w:rsid w:val="09F8CA13"/>
    <w:rsid w:val="0A7D4581"/>
    <w:rsid w:val="0AB61EFF"/>
    <w:rsid w:val="0AB7141A"/>
    <w:rsid w:val="0ACE79A6"/>
    <w:rsid w:val="0AECB235"/>
    <w:rsid w:val="0B4F1DA5"/>
    <w:rsid w:val="0B940C5B"/>
    <w:rsid w:val="0BE29F9E"/>
    <w:rsid w:val="0C44EB8A"/>
    <w:rsid w:val="0C516848"/>
    <w:rsid w:val="0C6A4A07"/>
    <w:rsid w:val="0CA9C37B"/>
    <w:rsid w:val="0CC2C53E"/>
    <w:rsid w:val="0CCA8BB4"/>
    <w:rsid w:val="0CCFF81F"/>
    <w:rsid w:val="0D064133"/>
    <w:rsid w:val="0D0A3819"/>
    <w:rsid w:val="0D1B94F9"/>
    <w:rsid w:val="0D2E505E"/>
    <w:rsid w:val="0D310738"/>
    <w:rsid w:val="0D356104"/>
    <w:rsid w:val="0D404789"/>
    <w:rsid w:val="0D913FBD"/>
    <w:rsid w:val="0DB57498"/>
    <w:rsid w:val="0DB63C27"/>
    <w:rsid w:val="0E37A652"/>
    <w:rsid w:val="0E3CFC16"/>
    <w:rsid w:val="0E6BC880"/>
    <w:rsid w:val="0E9344AF"/>
    <w:rsid w:val="0E998892"/>
    <w:rsid w:val="0ECA6D43"/>
    <w:rsid w:val="0EE8C4C3"/>
    <w:rsid w:val="0EF08A7D"/>
    <w:rsid w:val="0EF4359C"/>
    <w:rsid w:val="0EF88002"/>
    <w:rsid w:val="0F0AA779"/>
    <w:rsid w:val="0F239B9C"/>
    <w:rsid w:val="0F3C8102"/>
    <w:rsid w:val="0F802B39"/>
    <w:rsid w:val="0F8E8850"/>
    <w:rsid w:val="0F91FFE9"/>
    <w:rsid w:val="0FB37A34"/>
    <w:rsid w:val="0FD8276D"/>
    <w:rsid w:val="102D2A43"/>
    <w:rsid w:val="10A7A700"/>
    <w:rsid w:val="10D8DA83"/>
    <w:rsid w:val="10F3B2B4"/>
    <w:rsid w:val="11314C9F"/>
    <w:rsid w:val="11B8BEE6"/>
    <w:rsid w:val="11DBA2F1"/>
    <w:rsid w:val="11E13A78"/>
    <w:rsid w:val="12393440"/>
    <w:rsid w:val="1288E5BB"/>
    <w:rsid w:val="1296249C"/>
    <w:rsid w:val="12A68391"/>
    <w:rsid w:val="12B16383"/>
    <w:rsid w:val="12F9C2CB"/>
    <w:rsid w:val="13136B7A"/>
    <w:rsid w:val="13F36AB6"/>
    <w:rsid w:val="141D0284"/>
    <w:rsid w:val="144D847E"/>
    <w:rsid w:val="14587850"/>
    <w:rsid w:val="146BB45E"/>
    <w:rsid w:val="14755BEC"/>
    <w:rsid w:val="14DE9398"/>
    <w:rsid w:val="14F1BE6F"/>
    <w:rsid w:val="15089853"/>
    <w:rsid w:val="150FB72B"/>
    <w:rsid w:val="1550EA59"/>
    <w:rsid w:val="156F73E3"/>
    <w:rsid w:val="157BF8E6"/>
    <w:rsid w:val="159473E3"/>
    <w:rsid w:val="163632D6"/>
    <w:rsid w:val="16B66CC9"/>
    <w:rsid w:val="16EC9499"/>
    <w:rsid w:val="1719E331"/>
    <w:rsid w:val="1863BD20"/>
    <w:rsid w:val="18710FB5"/>
    <w:rsid w:val="18A73369"/>
    <w:rsid w:val="18D1CA5B"/>
    <w:rsid w:val="18D40634"/>
    <w:rsid w:val="196BEB61"/>
    <w:rsid w:val="1981914A"/>
    <w:rsid w:val="19A44C99"/>
    <w:rsid w:val="19E3F1D4"/>
    <w:rsid w:val="1A15212B"/>
    <w:rsid w:val="1A522581"/>
    <w:rsid w:val="1AA66127"/>
    <w:rsid w:val="1AE86420"/>
    <w:rsid w:val="1AF44119"/>
    <w:rsid w:val="1B19D6F4"/>
    <w:rsid w:val="1B2F0395"/>
    <w:rsid w:val="1B7F7316"/>
    <w:rsid w:val="1B968C10"/>
    <w:rsid w:val="1C0E9D07"/>
    <w:rsid w:val="1C1B5E19"/>
    <w:rsid w:val="1C726DE2"/>
    <w:rsid w:val="1CC6631E"/>
    <w:rsid w:val="1CE1D1E5"/>
    <w:rsid w:val="1CE2688C"/>
    <w:rsid w:val="1CF1E1EB"/>
    <w:rsid w:val="1D28125B"/>
    <w:rsid w:val="1D2C2918"/>
    <w:rsid w:val="1DA17CC2"/>
    <w:rsid w:val="1DB33794"/>
    <w:rsid w:val="1DB8F5C8"/>
    <w:rsid w:val="1DC33F4D"/>
    <w:rsid w:val="1DC666A5"/>
    <w:rsid w:val="1DFB2ADC"/>
    <w:rsid w:val="1E1AA903"/>
    <w:rsid w:val="1E1D932C"/>
    <w:rsid w:val="1E39C137"/>
    <w:rsid w:val="1E953FB5"/>
    <w:rsid w:val="1EB510EA"/>
    <w:rsid w:val="1EB762F7"/>
    <w:rsid w:val="1EC094CA"/>
    <w:rsid w:val="1EE829B7"/>
    <w:rsid w:val="1F09240C"/>
    <w:rsid w:val="1F500D22"/>
    <w:rsid w:val="1F743069"/>
    <w:rsid w:val="1FAF7380"/>
    <w:rsid w:val="1FD8AFED"/>
    <w:rsid w:val="1FEFCD26"/>
    <w:rsid w:val="206DB323"/>
    <w:rsid w:val="20BFE999"/>
    <w:rsid w:val="21120D71"/>
    <w:rsid w:val="2134ADA1"/>
    <w:rsid w:val="213F08C5"/>
    <w:rsid w:val="2142A7D7"/>
    <w:rsid w:val="2148B42B"/>
    <w:rsid w:val="2166A9CB"/>
    <w:rsid w:val="218203A6"/>
    <w:rsid w:val="21FB777E"/>
    <w:rsid w:val="221D5E38"/>
    <w:rsid w:val="2223F985"/>
    <w:rsid w:val="22290C6C"/>
    <w:rsid w:val="22313C11"/>
    <w:rsid w:val="22FF8003"/>
    <w:rsid w:val="2312CE9E"/>
    <w:rsid w:val="231A4EF7"/>
    <w:rsid w:val="235CAB87"/>
    <w:rsid w:val="2383B225"/>
    <w:rsid w:val="238AD41A"/>
    <w:rsid w:val="23AD03C6"/>
    <w:rsid w:val="23C38EFA"/>
    <w:rsid w:val="23DA2358"/>
    <w:rsid w:val="245BF183"/>
    <w:rsid w:val="24C1C89E"/>
    <w:rsid w:val="250B07C1"/>
    <w:rsid w:val="252E2B50"/>
    <w:rsid w:val="252E9F8E"/>
    <w:rsid w:val="254D0715"/>
    <w:rsid w:val="259EB4D0"/>
    <w:rsid w:val="25C10701"/>
    <w:rsid w:val="25F62291"/>
    <w:rsid w:val="26324CAF"/>
    <w:rsid w:val="26523B53"/>
    <w:rsid w:val="26971346"/>
    <w:rsid w:val="26F33B9C"/>
    <w:rsid w:val="26F4177E"/>
    <w:rsid w:val="27464416"/>
    <w:rsid w:val="277B57BD"/>
    <w:rsid w:val="27998AFA"/>
    <w:rsid w:val="284DDCCD"/>
    <w:rsid w:val="28664050"/>
    <w:rsid w:val="2896322B"/>
    <w:rsid w:val="289B8A90"/>
    <w:rsid w:val="292EBEFE"/>
    <w:rsid w:val="2938DFD3"/>
    <w:rsid w:val="2940F6EF"/>
    <w:rsid w:val="295268FE"/>
    <w:rsid w:val="29586742"/>
    <w:rsid w:val="29732BA0"/>
    <w:rsid w:val="29C19473"/>
    <w:rsid w:val="29E9AD2E"/>
    <w:rsid w:val="2A7653D8"/>
    <w:rsid w:val="2A7A82B8"/>
    <w:rsid w:val="2A9B03E9"/>
    <w:rsid w:val="2AAEBCCC"/>
    <w:rsid w:val="2AF38FC6"/>
    <w:rsid w:val="2B3894EC"/>
    <w:rsid w:val="2BA2211B"/>
    <w:rsid w:val="2BB20321"/>
    <w:rsid w:val="2BB815AB"/>
    <w:rsid w:val="2BB906D6"/>
    <w:rsid w:val="2BC6ACBF"/>
    <w:rsid w:val="2BD55BD0"/>
    <w:rsid w:val="2C329ABE"/>
    <w:rsid w:val="2C5F7C36"/>
    <w:rsid w:val="2C70E675"/>
    <w:rsid w:val="2CA79CC4"/>
    <w:rsid w:val="2D0589EE"/>
    <w:rsid w:val="2D53E60C"/>
    <w:rsid w:val="2E7C13DA"/>
    <w:rsid w:val="2EC270EA"/>
    <w:rsid w:val="2EDE31C6"/>
    <w:rsid w:val="2F0E5CBB"/>
    <w:rsid w:val="2F103431"/>
    <w:rsid w:val="2F23C796"/>
    <w:rsid w:val="2F9256E9"/>
    <w:rsid w:val="2FE90432"/>
    <w:rsid w:val="300EEFD4"/>
    <w:rsid w:val="3031CA3F"/>
    <w:rsid w:val="30A7679B"/>
    <w:rsid w:val="30E46AFE"/>
    <w:rsid w:val="30EC7EE2"/>
    <w:rsid w:val="30F588EA"/>
    <w:rsid w:val="3117D79F"/>
    <w:rsid w:val="314DE176"/>
    <w:rsid w:val="317580A3"/>
    <w:rsid w:val="31822C69"/>
    <w:rsid w:val="31A75BEA"/>
    <w:rsid w:val="31D0A17B"/>
    <w:rsid w:val="324B2D36"/>
    <w:rsid w:val="325B714D"/>
    <w:rsid w:val="32BD1D8A"/>
    <w:rsid w:val="32CDFE15"/>
    <w:rsid w:val="33052592"/>
    <w:rsid w:val="330D2697"/>
    <w:rsid w:val="331AD60E"/>
    <w:rsid w:val="33469096"/>
    <w:rsid w:val="33B845AD"/>
    <w:rsid w:val="34CAD136"/>
    <w:rsid w:val="35017CA6"/>
    <w:rsid w:val="3506E538"/>
    <w:rsid w:val="350B08AB"/>
    <w:rsid w:val="35A088F9"/>
    <w:rsid w:val="35B1779A"/>
    <w:rsid w:val="35EB48C2"/>
    <w:rsid w:val="35FE3A7E"/>
    <w:rsid w:val="3615D334"/>
    <w:rsid w:val="36303087"/>
    <w:rsid w:val="36378695"/>
    <w:rsid w:val="3640511D"/>
    <w:rsid w:val="366E8C39"/>
    <w:rsid w:val="36751CDE"/>
    <w:rsid w:val="36C00368"/>
    <w:rsid w:val="36C75DCF"/>
    <w:rsid w:val="371F5648"/>
    <w:rsid w:val="3743B7F8"/>
    <w:rsid w:val="37637F9C"/>
    <w:rsid w:val="37939CE5"/>
    <w:rsid w:val="37BB2B9A"/>
    <w:rsid w:val="37E309E7"/>
    <w:rsid w:val="381C5EB4"/>
    <w:rsid w:val="38478CF2"/>
    <w:rsid w:val="388BB6D0"/>
    <w:rsid w:val="38916219"/>
    <w:rsid w:val="394F039D"/>
    <w:rsid w:val="3962B7D0"/>
    <w:rsid w:val="39652FAA"/>
    <w:rsid w:val="3981ED2C"/>
    <w:rsid w:val="39908725"/>
    <w:rsid w:val="39AAB30C"/>
    <w:rsid w:val="39E624C7"/>
    <w:rsid w:val="3A2148D4"/>
    <w:rsid w:val="3A3A7853"/>
    <w:rsid w:val="3A3B039B"/>
    <w:rsid w:val="3AB11870"/>
    <w:rsid w:val="3AD4594C"/>
    <w:rsid w:val="3B0CADE5"/>
    <w:rsid w:val="3B68BFC5"/>
    <w:rsid w:val="3B6AB6B7"/>
    <w:rsid w:val="3BA082A6"/>
    <w:rsid w:val="3BC8F525"/>
    <w:rsid w:val="3C6C90D3"/>
    <w:rsid w:val="3C735E2A"/>
    <w:rsid w:val="3C757460"/>
    <w:rsid w:val="3C847452"/>
    <w:rsid w:val="3C8DF4A7"/>
    <w:rsid w:val="3C8E2B34"/>
    <w:rsid w:val="3CBCCFA4"/>
    <w:rsid w:val="3CC3550A"/>
    <w:rsid w:val="3CDC983E"/>
    <w:rsid w:val="3CE84EC2"/>
    <w:rsid w:val="3D147C11"/>
    <w:rsid w:val="3D19FCEB"/>
    <w:rsid w:val="3D30BC66"/>
    <w:rsid w:val="3D63E2DE"/>
    <w:rsid w:val="3E2274C0"/>
    <w:rsid w:val="3E412C25"/>
    <w:rsid w:val="3ED9F689"/>
    <w:rsid w:val="3EF39324"/>
    <w:rsid w:val="3F24B7B4"/>
    <w:rsid w:val="3F778F1E"/>
    <w:rsid w:val="3F971C38"/>
    <w:rsid w:val="3FD8A706"/>
    <w:rsid w:val="401ADACC"/>
    <w:rsid w:val="403083EE"/>
    <w:rsid w:val="40FBF731"/>
    <w:rsid w:val="4112E680"/>
    <w:rsid w:val="411A4330"/>
    <w:rsid w:val="41DE4C18"/>
    <w:rsid w:val="4222797B"/>
    <w:rsid w:val="42B92068"/>
    <w:rsid w:val="42DB2DDF"/>
    <w:rsid w:val="4359C612"/>
    <w:rsid w:val="43D656FD"/>
    <w:rsid w:val="43DD6922"/>
    <w:rsid w:val="43E3EF00"/>
    <w:rsid w:val="44374EF6"/>
    <w:rsid w:val="444F7A4F"/>
    <w:rsid w:val="4455C6EF"/>
    <w:rsid w:val="44711C61"/>
    <w:rsid w:val="44ADD5CA"/>
    <w:rsid w:val="44FD04F5"/>
    <w:rsid w:val="45071B05"/>
    <w:rsid w:val="45224A79"/>
    <w:rsid w:val="452891F4"/>
    <w:rsid w:val="4543539E"/>
    <w:rsid w:val="45B231C3"/>
    <w:rsid w:val="45BA0134"/>
    <w:rsid w:val="465E4D65"/>
    <w:rsid w:val="470E1A51"/>
    <w:rsid w:val="471AC6EC"/>
    <w:rsid w:val="471CF76A"/>
    <w:rsid w:val="47659F60"/>
    <w:rsid w:val="476EEFB8"/>
    <w:rsid w:val="48016629"/>
    <w:rsid w:val="4817595B"/>
    <w:rsid w:val="48572EB8"/>
    <w:rsid w:val="48AA18BA"/>
    <w:rsid w:val="48C4A0CE"/>
    <w:rsid w:val="490F2054"/>
    <w:rsid w:val="49897D76"/>
    <w:rsid w:val="49948A03"/>
    <w:rsid w:val="49D2E666"/>
    <w:rsid w:val="4A2655E6"/>
    <w:rsid w:val="4A748BEA"/>
    <w:rsid w:val="4A9E23E0"/>
    <w:rsid w:val="4AB681ED"/>
    <w:rsid w:val="4AD6AE2C"/>
    <w:rsid w:val="4AE64B1F"/>
    <w:rsid w:val="4AF6ED5B"/>
    <w:rsid w:val="4AFC9F50"/>
    <w:rsid w:val="4B2B14FA"/>
    <w:rsid w:val="4B73F238"/>
    <w:rsid w:val="4BA229C8"/>
    <w:rsid w:val="4BC00C5D"/>
    <w:rsid w:val="4BE6766A"/>
    <w:rsid w:val="4C16C362"/>
    <w:rsid w:val="4C16EA67"/>
    <w:rsid w:val="4C29387E"/>
    <w:rsid w:val="4C44BBE6"/>
    <w:rsid w:val="4C5DE633"/>
    <w:rsid w:val="4CC6E55B"/>
    <w:rsid w:val="4D056D21"/>
    <w:rsid w:val="4D096952"/>
    <w:rsid w:val="4D7762BF"/>
    <w:rsid w:val="4D7766AF"/>
    <w:rsid w:val="4D931121"/>
    <w:rsid w:val="4DD2C2B0"/>
    <w:rsid w:val="4E10524C"/>
    <w:rsid w:val="4E1F0F76"/>
    <w:rsid w:val="4E4B584B"/>
    <w:rsid w:val="4E7236CA"/>
    <w:rsid w:val="4E84F541"/>
    <w:rsid w:val="4EA06326"/>
    <w:rsid w:val="4EB7D9AE"/>
    <w:rsid w:val="4EC6703C"/>
    <w:rsid w:val="4F4E8B29"/>
    <w:rsid w:val="4F71C15C"/>
    <w:rsid w:val="4FA899B7"/>
    <w:rsid w:val="4FB02AB7"/>
    <w:rsid w:val="4FE8918D"/>
    <w:rsid w:val="4FF26120"/>
    <w:rsid w:val="503C3387"/>
    <w:rsid w:val="50D314D8"/>
    <w:rsid w:val="50FEF155"/>
    <w:rsid w:val="511EAC4A"/>
    <w:rsid w:val="517AB5C4"/>
    <w:rsid w:val="519AF427"/>
    <w:rsid w:val="51DD85EE"/>
    <w:rsid w:val="51E8B671"/>
    <w:rsid w:val="5281F312"/>
    <w:rsid w:val="529EA248"/>
    <w:rsid w:val="52B9BBFB"/>
    <w:rsid w:val="52CEB4BD"/>
    <w:rsid w:val="52E03A79"/>
    <w:rsid w:val="5326E446"/>
    <w:rsid w:val="534321E7"/>
    <w:rsid w:val="537B8B7C"/>
    <w:rsid w:val="53AAE50F"/>
    <w:rsid w:val="53F9A785"/>
    <w:rsid w:val="5411D5DD"/>
    <w:rsid w:val="543AC3A7"/>
    <w:rsid w:val="545EB498"/>
    <w:rsid w:val="546A851E"/>
    <w:rsid w:val="54AF521C"/>
    <w:rsid w:val="54FB1668"/>
    <w:rsid w:val="5534EED1"/>
    <w:rsid w:val="5551A657"/>
    <w:rsid w:val="5639F66D"/>
    <w:rsid w:val="568DBA75"/>
    <w:rsid w:val="56AF498D"/>
    <w:rsid w:val="56C86E1F"/>
    <w:rsid w:val="56DBDE6F"/>
    <w:rsid w:val="56F0890D"/>
    <w:rsid w:val="56F8787B"/>
    <w:rsid w:val="56F93467"/>
    <w:rsid w:val="571DB329"/>
    <w:rsid w:val="5722F6FC"/>
    <w:rsid w:val="572FC300"/>
    <w:rsid w:val="575E6EF4"/>
    <w:rsid w:val="5785D68F"/>
    <w:rsid w:val="58291479"/>
    <w:rsid w:val="5849503E"/>
    <w:rsid w:val="585A8C71"/>
    <w:rsid w:val="585B9536"/>
    <w:rsid w:val="586FD26C"/>
    <w:rsid w:val="588E4419"/>
    <w:rsid w:val="58AC01F0"/>
    <w:rsid w:val="58B45804"/>
    <w:rsid w:val="597B1DF4"/>
    <w:rsid w:val="59A68B89"/>
    <w:rsid w:val="59E3DB91"/>
    <w:rsid w:val="59F545F7"/>
    <w:rsid w:val="5A6ABBF6"/>
    <w:rsid w:val="5A722CB2"/>
    <w:rsid w:val="5AC0EC43"/>
    <w:rsid w:val="5ACC9755"/>
    <w:rsid w:val="5AEA515A"/>
    <w:rsid w:val="5AF4B0BC"/>
    <w:rsid w:val="5AF7BB35"/>
    <w:rsid w:val="5B6A2B2A"/>
    <w:rsid w:val="5B7D3459"/>
    <w:rsid w:val="5B9B4752"/>
    <w:rsid w:val="5BBB04A2"/>
    <w:rsid w:val="5BE6A26F"/>
    <w:rsid w:val="5C0E2C78"/>
    <w:rsid w:val="5C23E222"/>
    <w:rsid w:val="5C37DE5F"/>
    <w:rsid w:val="5C59F7FF"/>
    <w:rsid w:val="5C8E3B02"/>
    <w:rsid w:val="5CB9DD10"/>
    <w:rsid w:val="5CCAEA37"/>
    <w:rsid w:val="5CD277DC"/>
    <w:rsid w:val="5D409ACF"/>
    <w:rsid w:val="5E3D835A"/>
    <w:rsid w:val="5E6A876A"/>
    <w:rsid w:val="5E6DF7A3"/>
    <w:rsid w:val="5EB338B1"/>
    <w:rsid w:val="5F1B7A02"/>
    <w:rsid w:val="5F32B826"/>
    <w:rsid w:val="5F686FFD"/>
    <w:rsid w:val="5F9F781D"/>
    <w:rsid w:val="5FAD48D8"/>
    <w:rsid w:val="5FB72E9C"/>
    <w:rsid w:val="5FCC3D30"/>
    <w:rsid w:val="5FE04363"/>
    <w:rsid w:val="5FE51E6E"/>
    <w:rsid w:val="60672990"/>
    <w:rsid w:val="6116907A"/>
    <w:rsid w:val="612CE441"/>
    <w:rsid w:val="619F290E"/>
    <w:rsid w:val="61A8E16C"/>
    <w:rsid w:val="61B49810"/>
    <w:rsid w:val="61D3ED2D"/>
    <w:rsid w:val="61D66031"/>
    <w:rsid w:val="61E2FD49"/>
    <w:rsid w:val="620190B8"/>
    <w:rsid w:val="6207DABA"/>
    <w:rsid w:val="62531AC4"/>
    <w:rsid w:val="62559359"/>
    <w:rsid w:val="62865B25"/>
    <w:rsid w:val="628DF786"/>
    <w:rsid w:val="62BAFAC7"/>
    <w:rsid w:val="62DCE069"/>
    <w:rsid w:val="62F0B4C7"/>
    <w:rsid w:val="63284069"/>
    <w:rsid w:val="6328C6C3"/>
    <w:rsid w:val="632CECD0"/>
    <w:rsid w:val="634168C6"/>
    <w:rsid w:val="639CD540"/>
    <w:rsid w:val="6429C7E7"/>
    <w:rsid w:val="64C19835"/>
    <w:rsid w:val="64E3492B"/>
    <w:rsid w:val="652108D5"/>
    <w:rsid w:val="65594233"/>
    <w:rsid w:val="6570FA19"/>
    <w:rsid w:val="659E481F"/>
    <w:rsid w:val="65AD7090"/>
    <w:rsid w:val="65EE2C14"/>
    <w:rsid w:val="662B201F"/>
    <w:rsid w:val="669C2146"/>
    <w:rsid w:val="6708999B"/>
    <w:rsid w:val="6723B97A"/>
    <w:rsid w:val="6735A257"/>
    <w:rsid w:val="674E0C9D"/>
    <w:rsid w:val="677A5FCD"/>
    <w:rsid w:val="67A7B4A8"/>
    <w:rsid w:val="67AC76DE"/>
    <w:rsid w:val="67C7C1BC"/>
    <w:rsid w:val="67F1E68D"/>
    <w:rsid w:val="681F82A2"/>
    <w:rsid w:val="682B1377"/>
    <w:rsid w:val="68B9FE83"/>
    <w:rsid w:val="68F0F462"/>
    <w:rsid w:val="692F945C"/>
    <w:rsid w:val="69491211"/>
    <w:rsid w:val="697EB9AD"/>
    <w:rsid w:val="69B84A77"/>
    <w:rsid w:val="69DDEDE8"/>
    <w:rsid w:val="69F65557"/>
    <w:rsid w:val="6A4809E6"/>
    <w:rsid w:val="6A5ACEBA"/>
    <w:rsid w:val="6A63E573"/>
    <w:rsid w:val="6AA03541"/>
    <w:rsid w:val="6ACB051B"/>
    <w:rsid w:val="6B0C4CE2"/>
    <w:rsid w:val="6B1D0F2C"/>
    <w:rsid w:val="6B894EA6"/>
    <w:rsid w:val="6BBFE9D5"/>
    <w:rsid w:val="6BE58DDA"/>
    <w:rsid w:val="6BFE9779"/>
    <w:rsid w:val="6C180AA8"/>
    <w:rsid w:val="6C67351E"/>
    <w:rsid w:val="6CC5B037"/>
    <w:rsid w:val="6CE08271"/>
    <w:rsid w:val="6D229E77"/>
    <w:rsid w:val="6D8A18EA"/>
    <w:rsid w:val="6DDB7AC0"/>
    <w:rsid w:val="6DDC0DFF"/>
    <w:rsid w:val="6DE0159C"/>
    <w:rsid w:val="6E0018BB"/>
    <w:rsid w:val="6E8C598D"/>
    <w:rsid w:val="6EBB1420"/>
    <w:rsid w:val="6EF6491F"/>
    <w:rsid w:val="6EF6553E"/>
    <w:rsid w:val="6F36383B"/>
    <w:rsid w:val="6F5C9C41"/>
    <w:rsid w:val="6F7BE5D4"/>
    <w:rsid w:val="6FB00783"/>
    <w:rsid w:val="6FBD1F6E"/>
    <w:rsid w:val="6FF3F859"/>
    <w:rsid w:val="6FFA1998"/>
    <w:rsid w:val="703E67CB"/>
    <w:rsid w:val="706A89B1"/>
    <w:rsid w:val="70A35B83"/>
    <w:rsid w:val="70A47AE0"/>
    <w:rsid w:val="70B41626"/>
    <w:rsid w:val="7113FF5B"/>
    <w:rsid w:val="7174E44D"/>
    <w:rsid w:val="71E07FB9"/>
    <w:rsid w:val="722A9324"/>
    <w:rsid w:val="723C62A0"/>
    <w:rsid w:val="7277E51D"/>
    <w:rsid w:val="7288104B"/>
    <w:rsid w:val="7296AFB7"/>
    <w:rsid w:val="72CF1A2B"/>
    <w:rsid w:val="72DBD71A"/>
    <w:rsid w:val="73017C83"/>
    <w:rsid w:val="731E9B80"/>
    <w:rsid w:val="737DF09F"/>
    <w:rsid w:val="73808D0B"/>
    <w:rsid w:val="7397DE43"/>
    <w:rsid w:val="73AFEDDC"/>
    <w:rsid w:val="7413B57E"/>
    <w:rsid w:val="7415D407"/>
    <w:rsid w:val="7420B260"/>
    <w:rsid w:val="7423E0AC"/>
    <w:rsid w:val="748F88B2"/>
    <w:rsid w:val="74998D8E"/>
    <w:rsid w:val="74A07CBA"/>
    <w:rsid w:val="74EC3897"/>
    <w:rsid w:val="74ED03FD"/>
    <w:rsid w:val="7532845E"/>
    <w:rsid w:val="75C90213"/>
    <w:rsid w:val="75E71FE4"/>
    <w:rsid w:val="762FC279"/>
    <w:rsid w:val="767E4315"/>
    <w:rsid w:val="771CDDF3"/>
    <w:rsid w:val="7784A11B"/>
    <w:rsid w:val="77C36C00"/>
    <w:rsid w:val="77DD5067"/>
    <w:rsid w:val="785782A5"/>
    <w:rsid w:val="78F61AA5"/>
    <w:rsid w:val="7900ACA4"/>
    <w:rsid w:val="7923F345"/>
    <w:rsid w:val="7947DBEC"/>
    <w:rsid w:val="7A1C66BB"/>
    <w:rsid w:val="7A7F91C8"/>
    <w:rsid w:val="7AB8A1F9"/>
    <w:rsid w:val="7ABB11A3"/>
    <w:rsid w:val="7AF5D5AC"/>
    <w:rsid w:val="7B4C88D5"/>
    <w:rsid w:val="7B86E523"/>
    <w:rsid w:val="7C1FEAC0"/>
    <w:rsid w:val="7C2469A0"/>
    <w:rsid w:val="7C4288E8"/>
    <w:rsid w:val="7C733243"/>
    <w:rsid w:val="7C8BE6FC"/>
    <w:rsid w:val="7C8F1FF2"/>
    <w:rsid w:val="7CC4B8EC"/>
    <w:rsid w:val="7CD526DE"/>
    <w:rsid w:val="7D1AD370"/>
    <w:rsid w:val="7D6E5AEC"/>
    <w:rsid w:val="7D9C21BC"/>
    <w:rsid w:val="7DEEBB7D"/>
    <w:rsid w:val="7E04C44A"/>
    <w:rsid w:val="7E1D429B"/>
    <w:rsid w:val="7E366AF8"/>
    <w:rsid w:val="7E415F5B"/>
    <w:rsid w:val="7E6E5BF6"/>
    <w:rsid w:val="7E74B97C"/>
    <w:rsid w:val="7E7E2A9F"/>
    <w:rsid w:val="7EBAE484"/>
    <w:rsid w:val="7EF1F6EA"/>
    <w:rsid w:val="7F2FA458"/>
    <w:rsid w:val="7F3F0AC2"/>
    <w:rsid w:val="7FD5D1C6"/>
    <w:rsid w:val="7FF91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5A359"/>
  <w15:chartTrackingRefBased/>
  <w15:docId w15:val="{8E998AEE-B5D6-464B-8EB2-9937033D9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7365C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basedOn w:val="DefaultParagraphFont"/>
    <w:rsid w:val="0073731B"/>
  </w:style>
  <w:style w:type="character" w:customStyle="1" w:styleId="noticenum">
    <w:name w:val="noticenum"/>
    <w:basedOn w:val="DefaultParagraphFont"/>
    <w:rsid w:val="0073731B"/>
  </w:style>
  <w:style w:type="paragraph" w:styleId="ListParagraph">
    <w:name w:val="List Paragraph"/>
    <w:basedOn w:val="Normal"/>
    <w:uiPriority w:val="34"/>
    <w:qFormat/>
    <w:rsid w:val="0073731B"/>
    <w:pPr>
      <w:ind w:left="720"/>
      <w:contextualSpacing/>
    </w:pPr>
  </w:style>
  <w:style w:type="paragraph" w:customStyle="1" w:styleId="Normal1">
    <w:name w:val="Normal1"/>
    <w:basedOn w:val="Normal"/>
    <w:rsid w:val="00826E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C4B18"/>
    <w:rPr>
      <w:color w:val="0000FF"/>
      <w:u w:val="single"/>
    </w:rPr>
  </w:style>
  <w:style w:type="character" w:styleId="CommentReference">
    <w:name w:val="annotation reference"/>
    <w:basedOn w:val="DefaultParagraphFont"/>
    <w:uiPriority w:val="99"/>
    <w:semiHidden/>
    <w:unhideWhenUsed/>
    <w:rsid w:val="00D57BDE"/>
    <w:rPr>
      <w:sz w:val="16"/>
      <w:szCs w:val="16"/>
    </w:rPr>
  </w:style>
  <w:style w:type="paragraph" w:styleId="CommentText">
    <w:name w:val="annotation text"/>
    <w:basedOn w:val="Normal"/>
    <w:link w:val="CommentTextChar"/>
    <w:uiPriority w:val="99"/>
    <w:unhideWhenUsed/>
    <w:rsid w:val="00D57BDE"/>
    <w:pPr>
      <w:spacing w:line="240" w:lineRule="auto"/>
    </w:pPr>
    <w:rPr>
      <w:sz w:val="20"/>
      <w:szCs w:val="20"/>
    </w:rPr>
  </w:style>
  <w:style w:type="character" w:customStyle="1" w:styleId="CommentTextChar">
    <w:name w:val="Comment Text Char"/>
    <w:basedOn w:val="DefaultParagraphFont"/>
    <w:link w:val="CommentText"/>
    <w:uiPriority w:val="99"/>
    <w:rsid w:val="00D57BDE"/>
    <w:rPr>
      <w:sz w:val="20"/>
      <w:szCs w:val="20"/>
    </w:rPr>
  </w:style>
  <w:style w:type="paragraph" w:styleId="CommentSubject">
    <w:name w:val="annotation subject"/>
    <w:basedOn w:val="CommentText"/>
    <w:next w:val="CommentText"/>
    <w:link w:val="CommentSubjectChar"/>
    <w:uiPriority w:val="99"/>
    <w:semiHidden/>
    <w:unhideWhenUsed/>
    <w:rsid w:val="00D57BDE"/>
    <w:rPr>
      <w:b/>
      <w:bCs/>
    </w:rPr>
  </w:style>
  <w:style w:type="character" w:customStyle="1" w:styleId="CommentSubjectChar">
    <w:name w:val="Comment Subject Char"/>
    <w:basedOn w:val="CommentTextChar"/>
    <w:link w:val="CommentSubject"/>
    <w:uiPriority w:val="99"/>
    <w:semiHidden/>
    <w:rsid w:val="00D57BDE"/>
    <w:rPr>
      <w:b/>
      <w:bCs/>
      <w:sz w:val="20"/>
      <w:szCs w:val="20"/>
    </w:rPr>
  </w:style>
  <w:style w:type="character" w:styleId="UnresolvedMention">
    <w:name w:val="Unresolved Mention"/>
    <w:basedOn w:val="DefaultParagraphFont"/>
    <w:uiPriority w:val="99"/>
    <w:semiHidden/>
    <w:unhideWhenUsed/>
    <w:rsid w:val="00B87AF3"/>
    <w:rPr>
      <w:color w:val="605E5C"/>
      <w:shd w:val="clear" w:color="auto" w:fill="E1DFDD"/>
    </w:rPr>
  </w:style>
  <w:style w:type="character" w:styleId="FollowedHyperlink">
    <w:name w:val="FollowedHyperlink"/>
    <w:basedOn w:val="DefaultParagraphFont"/>
    <w:uiPriority w:val="99"/>
    <w:semiHidden/>
    <w:unhideWhenUsed/>
    <w:rsid w:val="006B1BB6"/>
    <w:rPr>
      <w:color w:val="954F72" w:themeColor="followedHyperlink"/>
      <w:u w:val="single"/>
    </w:rPr>
  </w:style>
  <w:style w:type="paragraph" w:customStyle="1" w:styleId="Normal2">
    <w:name w:val="Normal2"/>
    <w:basedOn w:val="Normal"/>
    <w:rsid w:val="00A51D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7365CC"/>
    <w:rPr>
      <w:rFonts w:ascii="Times New Roman" w:eastAsia="Times New Roman" w:hAnsi="Times New Roman" w:cs="Times New Roman"/>
      <w:b/>
      <w:bCs/>
      <w:sz w:val="24"/>
      <w:szCs w:val="24"/>
    </w:rPr>
  </w:style>
  <w:style w:type="character" w:styleId="Strong">
    <w:name w:val="Strong"/>
    <w:basedOn w:val="DefaultParagraphFont"/>
    <w:uiPriority w:val="22"/>
    <w:qFormat/>
    <w:rsid w:val="007365CC"/>
    <w:rPr>
      <w:b/>
      <w:bCs/>
    </w:rPr>
  </w:style>
  <w:style w:type="character" w:styleId="Emphasis">
    <w:name w:val="Emphasis"/>
    <w:basedOn w:val="DefaultParagraphFont"/>
    <w:uiPriority w:val="20"/>
    <w:qFormat/>
    <w:rsid w:val="007365CC"/>
    <w:rPr>
      <w:i/>
      <w:iCs/>
    </w:rPr>
  </w:style>
  <w:style w:type="paragraph" w:styleId="NormalWeb">
    <w:name w:val="Normal (Web)"/>
    <w:basedOn w:val="Normal"/>
    <w:uiPriority w:val="99"/>
    <w:semiHidden/>
    <w:unhideWhenUsed/>
    <w:rsid w:val="007365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B15860"/>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0745">
      <w:bodyDiv w:val="1"/>
      <w:marLeft w:val="0"/>
      <w:marRight w:val="0"/>
      <w:marTop w:val="0"/>
      <w:marBottom w:val="0"/>
      <w:divBdr>
        <w:top w:val="none" w:sz="0" w:space="0" w:color="auto"/>
        <w:left w:val="none" w:sz="0" w:space="0" w:color="auto"/>
        <w:bottom w:val="none" w:sz="0" w:space="0" w:color="auto"/>
        <w:right w:val="none" w:sz="0" w:space="0" w:color="auto"/>
      </w:divBdr>
    </w:div>
    <w:div w:id="124979568">
      <w:bodyDiv w:val="1"/>
      <w:marLeft w:val="0"/>
      <w:marRight w:val="0"/>
      <w:marTop w:val="0"/>
      <w:marBottom w:val="0"/>
      <w:divBdr>
        <w:top w:val="none" w:sz="0" w:space="0" w:color="auto"/>
        <w:left w:val="none" w:sz="0" w:space="0" w:color="auto"/>
        <w:bottom w:val="none" w:sz="0" w:space="0" w:color="auto"/>
        <w:right w:val="none" w:sz="0" w:space="0" w:color="auto"/>
      </w:divBdr>
      <w:divsChild>
        <w:div w:id="2069181173">
          <w:marLeft w:val="0"/>
          <w:marRight w:val="0"/>
          <w:marTop w:val="0"/>
          <w:marBottom w:val="0"/>
          <w:divBdr>
            <w:top w:val="none" w:sz="0" w:space="0" w:color="auto"/>
            <w:left w:val="none" w:sz="0" w:space="0" w:color="auto"/>
            <w:bottom w:val="none" w:sz="0" w:space="0" w:color="auto"/>
            <w:right w:val="none" w:sz="0" w:space="0" w:color="auto"/>
          </w:divBdr>
          <w:divsChild>
            <w:div w:id="1977174751">
              <w:marLeft w:val="0"/>
              <w:marRight w:val="0"/>
              <w:marTop w:val="0"/>
              <w:marBottom w:val="0"/>
              <w:divBdr>
                <w:top w:val="none" w:sz="0" w:space="0" w:color="auto"/>
                <w:left w:val="none" w:sz="0" w:space="0" w:color="auto"/>
                <w:bottom w:val="none" w:sz="0" w:space="0" w:color="auto"/>
                <w:right w:val="none" w:sz="0" w:space="0" w:color="auto"/>
              </w:divBdr>
              <w:divsChild>
                <w:div w:id="1894273109">
                  <w:marLeft w:val="0"/>
                  <w:marRight w:val="0"/>
                  <w:marTop w:val="0"/>
                  <w:marBottom w:val="0"/>
                  <w:divBdr>
                    <w:top w:val="none" w:sz="0" w:space="0" w:color="auto"/>
                    <w:left w:val="none" w:sz="0" w:space="0" w:color="auto"/>
                    <w:bottom w:val="none" w:sz="0" w:space="0" w:color="auto"/>
                    <w:right w:val="none" w:sz="0" w:space="0" w:color="auto"/>
                  </w:divBdr>
                  <w:divsChild>
                    <w:div w:id="1989935354">
                      <w:marLeft w:val="0"/>
                      <w:marRight w:val="0"/>
                      <w:marTop w:val="0"/>
                      <w:marBottom w:val="0"/>
                      <w:divBdr>
                        <w:top w:val="none" w:sz="0" w:space="0" w:color="auto"/>
                        <w:left w:val="none" w:sz="0" w:space="0" w:color="auto"/>
                        <w:bottom w:val="none" w:sz="0" w:space="0" w:color="auto"/>
                        <w:right w:val="none" w:sz="0" w:space="0" w:color="auto"/>
                      </w:divBdr>
                      <w:divsChild>
                        <w:div w:id="68039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182080">
      <w:bodyDiv w:val="1"/>
      <w:marLeft w:val="0"/>
      <w:marRight w:val="0"/>
      <w:marTop w:val="0"/>
      <w:marBottom w:val="0"/>
      <w:divBdr>
        <w:top w:val="none" w:sz="0" w:space="0" w:color="auto"/>
        <w:left w:val="none" w:sz="0" w:space="0" w:color="auto"/>
        <w:bottom w:val="none" w:sz="0" w:space="0" w:color="auto"/>
        <w:right w:val="none" w:sz="0" w:space="0" w:color="auto"/>
      </w:divBdr>
    </w:div>
    <w:div w:id="949318157">
      <w:bodyDiv w:val="1"/>
      <w:marLeft w:val="0"/>
      <w:marRight w:val="0"/>
      <w:marTop w:val="0"/>
      <w:marBottom w:val="0"/>
      <w:divBdr>
        <w:top w:val="none" w:sz="0" w:space="0" w:color="auto"/>
        <w:left w:val="none" w:sz="0" w:space="0" w:color="auto"/>
        <w:bottom w:val="none" w:sz="0" w:space="0" w:color="auto"/>
        <w:right w:val="none" w:sz="0" w:space="0" w:color="auto"/>
      </w:divBdr>
      <w:divsChild>
        <w:div w:id="36324715">
          <w:marLeft w:val="0"/>
          <w:marRight w:val="0"/>
          <w:marTop w:val="0"/>
          <w:marBottom w:val="0"/>
          <w:divBdr>
            <w:top w:val="none" w:sz="0" w:space="0" w:color="auto"/>
            <w:left w:val="none" w:sz="0" w:space="0" w:color="auto"/>
            <w:bottom w:val="none" w:sz="0" w:space="0" w:color="auto"/>
            <w:right w:val="none" w:sz="0" w:space="0" w:color="auto"/>
          </w:divBdr>
        </w:div>
      </w:divsChild>
    </w:div>
    <w:div w:id="1154250634">
      <w:bodyDiv w:val="1"/>
      <w:marLeft w:val="0"/>
      <w:marRight w:val="0"/>
      <w:marTop w:val="0"/>
      <w:marBottom w:val="0"/>
      <w:divBdr>
        <w:top w:val="none" w:sz="0" w:space="0" w:color="auto"/>
        <w:left w:val="none" w:sz="0" w:space="0" w:color="auto"/>
        <w:bottom w:val="none" w:sz="0" w:space="0" w:color="auto"/>
        <w:right w:val="none" w:sz="0" w:space="0" w:color="auto"/>
      </w:divBdr>
      <w:divsChild>
        <w:div w:id="1303005628">
          <w:marLeft w:val="0"/>
          <w:marRight w:val="0"/>
          <w:marTop w:val="0"/>
          <w:marBottom w:val="0"/>
          <w:divBdr>
            <w:top w:val="none" w:sz="0" w:space="0" w:color="auto"/>
            <w:left w:val="none" w:sz="0" w:space="0" w:color="auto"/>
            <w:bottom w:val="none" w:sz="0" w:space="0" w:color="auto"/>
            <w:right w:val="none" w:sz="0" w:space="0" w:color="auto"/>
          </w:divBdr>
          <w:divsChild>
            <w:div w:id="1958877037">
              <w:marLeft w:val="0"/>
              <w:marRight w:val="0"/>
              <w:marTop w:val="0"/>
              <w:marBottom w:val="0"/>
              <w:divBdr>
                <w:top w:val="none" w:sz="0" w:space="0" w:color="auto"/>
                <w:left w:val="none" w:sz="0" w:space="0" w:color="auto"/>
                <w:bottom w:val="none" w:sz="0" w:space="0" w:color="auto"/>
                <w:right w:val="none" w:sz="0" w:space="0" w:color="auto"/>
              </w:divBdr>
              <w:divsChild>
                <w:div w:id="1664701219">
                  <w:marLeft w:val="0"/>
                  <w:marRight w:val="0"/>
                  <w:marTop w:val="0"/>
                  <w:marBottom w:val="0"/>
                  <w:divBdr>
                    <w:top w:val="none" w:sz="0" w:space="0" w:color="auto"/>
                    <w:left w:val="none" w:sz="0" w:space="0" w:color="auto"/>
                    <w:bottom w:val="none" w:sz="0" w:space="0" w:color="auto"/>
                    <w:right w:val="none" w:sz="0" w:space="0" w:color="auto"/>
                  </w:divBdr>
                  <w:divsChild>
                    <w:div w:id="536504977">
                      <w:marLeft w:val="0"/>
                      <w:marRight w:val="0"/>
                      <w:marTop w:val="0"/>
                      <w:marBottom w:val="0"/>
                      <w:divBdr>
                        <w:top w:val="none" w:sz="0" w:space="0" w:color="auto"/>
                        <w:left w:val="none" w:sz="0" w:space="0" w:color="auto"/>
                        <w:bottom w:val="none" w:sz="0" w:space="0" w:color="auto"/>
                        <w:right w:val="none" w:sz="0" w:space="0" w:color="auto"/>
                      </w:divBdr>
                      <w:divsChild>
                        <w:div w:id="142156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632991">
      <w:bodyDiv w:val="1"/>
      <w:marLeft w:val="0"/>
      <w:marRight w:val="0"/>
      <w:marTop w:val="0"/>
      <w:marBottom w:val="0"/>
      <w:divBdr>
        <w:top w:val="none" w:sz="0" w:space="0" w:color="auto"/>
        <w:left w:val="none" w:sz="0" w:space="0" w:color="auto"/>
        <w:bottom w:val="none" w:sz="0" w:space="0" w:color="auto"/>
        <w:right w:val="none" w:sz="0" w:space="0" w:color="auto"/>
      </w:divBdr>
    </w:div>
    <w:div w:id="1264918574">
      <w:bodyDiv w:val="1"/>
      <w:marLeft w:val="0"/>
      <w:marRight w:val="0"/>
      <w:marTop w:val="0"/>
      <w:marBottom w:val="0"/>
      <w:divBdr>
        <w:top w:val="none" w:sz="0" w:space="0" w:color="auto"/>
        <w:left w:val="none" w:sz="0" w:space="0" w:color="auto"/>
        <w:bottom w:val="none" w:sz="0" w:space="0" w:color="auto"/>
        <w:right w:val="none" w:sz="0" w:space="0" w:color="auto"/>
      </w:divBdr>
    </w:div>
    <w:div w:id="1275554736">
      <w:bodyDiv w:val="1"/>
      <w:marLeft w:val="0"/>
      <w:marRight w:val="0"/>
      <w:marTop w:val="0"/>
      <w:marBottom w:val="0"/>
      <w:divBdr>
        <w:top w:val="none" w:sz="0" w:space="0" w:color="auto"/>
        <w:left w:val="none" w:sz="0" w:space="0" w:color="auto"/>
        <w:bottom w:val="none" w:sz="0" w:space="0" w:color="auto"/>
        <w:right w:val="none" w:sz="0" w:space="0" w:color="auto"/>
      </w:divBdr>
      <w:divsChild>
        <w:div w:id="1640263439">
          <w:marLeft w:val="0"/>
          <w:marRight w:val="0"/>
          <w:marTop w:val="0"/>
          <w:marBottom w:val="0"/>
          <w:divBdr>
            <w:top w:val="none" w:sz="0" w:space="0" w:color="auto"/>
            <w:left w:val="none" w:sz="0" w:space="0" w:color="auto"/>
            <w:bottom w:val="none" w:sz="0" w:space="0" w:color="auto"/>
            <w:right w:val="none" w:sz="0" w:space="0" w:color="auto"/>
          </w:divBdr>
          <w:divsChild>
            <w:div w:id="1920942878">
              <w:marLeft w:val="0"/>
              <w:marRight w:val="0"/>
              <w:marTop w:val="0"/>
              <w:marBottom w:val="0"/>
              <w:divBdr>
                <w:top w:val="none" w:sz="0" w:space="0" w:color="auto"/>
                <w:left w:val="none" w:sz="0" w:space="0" w:color="auto"/>
                <w:bottom w:val="none" w:sz="0" w:space="0" w:color="auto"/>
                <w:right w:val="none" w:sz="0" w:space="0" w:color="auto"/>
              </w:divBdr>
              <w:divsChild>
                <w:div w:id="1486822628">
                  <w:marLeft w:val="0"/>
                  <w:marRight w:val="0"/>
                  <w:marTop w:val="0"/>
                  <w:marBottom w:val="0"/>
                  <w:divBdr>
                    <w:top w:val="none" w:sz="0" w:space="0" w:color="auto"/>
                    <w:left w:val="none" w:sz="0" w:space="0" w:color="auto"/>
                    <w:bottom w:val="none" w:sz="0" w:space="0" w:color="auto"/>
                    <w:right w:val="none" w:sz="0" w:space="0" w:color="auto"/>
                  </w:divBdr>
                  <w:divsChild>
                    <w:div w:id="154806420">
                      <w:marLeft w:val="0"/>
                      <w:marRight w:val="0"/>
                      <w:marTop w:val="0"/>
                      <w:marBottom w:val="0"/>
                      <w:divBdr>
                        <w:top w:val="none" w:sz="0" w:space="0" w:color="auto"/>
                        <w:left w:val="none" w:sz="0" w:space="0" w:color="auto"/>
                        <w:bottom w:val="none" w:sz="0" w:space="0" w:color="auto"/>
                        <w:right w:val="none" w:sz="0" w:space="0" w:color="auto"/>
                      </w:divBdr>
                      <w:divsChild>
                        <w:div w:id="841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183111">
      <w:bodyDiv w:val="1"/>
      <w:marLeft w:val="0"/>
      <w:marRight w:val="0"/>
      <w:marTop w:val="0"/>
      <w:marBottom w:val="0"/>
      <w:divBdr>
        <w:top w:val="none" w:sz="0" w:space="0" w:color="auto"/>
        <w:left w:val="none" w:sz="0" w:space="0" w:color="auto"/>
        <w:bottom w:val="none" w:sz="0" w:space="0" w:color="auto"/>
        <w:right w:val="none" w:sz="0" w:space="0" w:color="auto"/>
      </w:divBdr>
      <w:divsChild>
        <w:div w:id="560749980">
          <w:marLeft w:val="0"/>
          <w:marRight w:val="0"/>
          <w:marTop w:val="0"/>
          <w:marBottom w:val="0"/>
          <w:divBdr>
            <w:top w:val="none" w:sz="0" w:space="0" w:color="auto"/>
            <w:left w:val="none" w:sz="0" w:space="0" w:color="auto"/>
            <w:bottom w:val="none" w:sz="0" w:space="0" w:color="auto"/>
            <w:right w:val="none" w:sz="0" w:space="0" w:color="auto"/>
          </w:divBdr>
          <w:divsChild>
            <w:div w:id="2098280349">
              <w:marLeft w:val="0"/>
              <w:marRight w:val="0"/>
              <w:marTop w:val="0"/>
              <w:marBottom w:val="0"/>
              <w:divBdr>
                <w:top w:val="none" w:sz="0" w:space="0" w:color="auto"/>
                <w:left w:val="none" w:sz="0" w:space="0" w:color="auto"/>
                <w:bottom w:val="none" w:sz="0" w:space="0" w:color="auto"/>
                <w:right w:val="none" w:sz="0" w:space="0" w:color="auto"/>
              </w:divBdr>
              <w:divsChild>
                <w:div w:id="1665083174">
                  <w:marLeft w:val="0"/>
                  <w:marRight w:val="0"/>
                  <w:marTop w:val="0"/>
                  <w:marBottom w:val="0"/>
                  <w:divBdr>
                    <w:top w:val="none" w:sz="0" w:space="0" w:color="auto"/>
                    <w:left w:val="none" w:sz="0" w:space="0" w:color="auto"/>
                    <w:bottom w:val="none" w:sz="0" w:space="0" w:color="auto"/>
                    <w:right w:val="none" w:sz="0" w:space="0" w:color="auto"/>
                  </w:divBdr>
                  <w:divsChild>
                    <w:div w:id="1799755977">
                      <w:marLeft w:val="0"/>
                      <w:marRight w:val="0"/>
                      <w:marTop w:val="0"/>
                      <w:marBottom w:val="0"/>
                      <w:divBdr>
                        <w:top w:val="none" w:sz="0" w:space="0" w:color="auto"/>
                        <w:left w:val="none" w:sz="0" w:space="0" w:color="auto"/>
                        <w:bottom w:val="none" w:sz="0" w:space="0" w:color="auto"/>
                        <w:right w:val="none" w:sz="0" w:space="0" w:color="auto"/>
                      </w:divBdr>
                      <w:divsChild>
                        <w:div w:id="35200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392475">
      <w:bodyDiv w:val="1"/>
      <w:marLeft w:val="0"/>
      <w:marRight w:val="0"/>
      <w:marTop w:val="0"/>
      <w:marBottom w:val="0"/>
      <w:divBdr>
        <w:top w:val="none" w:sz="0" w:space="0" w:color="auto"/>
        <w:left w:val="none" w:sz="0" w:space="0" w:color="auto"/>
        <w:bottom w:val="none" w:sz="0" w:space="0" w:color="auto"/>
        <w:right w:val="none" w:sz="0" w:space="0" w:color="auto"/>
      </w:divBdr>
      <w:divsChild>
        <w:div w:id="1064254310">
          <w:marLeft w:val="0"/>
          <w:marRight w:val="0"/>
          <w:marTop w:val="0"/>
          <w:marBottom w:val="0"/>
          <w:divBdr>
            <w:top w:val="none" w:sz="0" w:space="0" w:color="auto"/>
            <w:left w:val="none" w:sz="0" w:space="0" w:color="auto"/>
            <w:bottom w:val="none" w:sz="0" w:space="0" w:color="auto"/>
            <w:right w:val="none" w:sz="0" w:space="0" w:color="auto"/>
          </w:divBdr>
          <w:divsChild>
            <w:div w:id="1778714296">
              <w:marLeft w:val="0"/>
              <w:marRight w:val="0"/>
              <w:marTop w:val="0"/>
              <w:marBottom w:val="0"/>
              <w:divBdr>
                <w:top w:val="none" w:sz="0" w:space="0" w:color="auto"/>
                <w:left w:val="none" w:sz="0" w:space="0" w:color="auto"/>
                <w:bottom w:val="none" w:sz="0" w:space="0" w:color="auto"/>
                <w:right w:val="none" w:sz="0" w:space="0" w:color="auto"/>
              </w:divBdr>
              <w:divsChild>
                <w:div w:id="1864897210">
                  <w:marLeft w:val="0"/>
                  <w:marRight w:val="0"/>
                  <w:marTop w:val="0"/>
                  <w:marBottom w:val="0"/>
                  <w:divBdr>
                    <w:top w:val="none" w:sz="0" w:space="0" w:color="auto"/>
                    <w:left w:val="none" w:sz="0" w:space="0" w:color="auto"/>
                    <w:bottom w:val="none" w:sz="0" w:space="0" w:color="auto"/>
                    <w:right w:val="none" w:sz="0" w:space="0" w:color="auto"/>
                  </w:divBdr>
                  <w:divsChild>
                    <w:div w:id="968976414">
                      <w:marLeft w:val="0"/>
                      <w:marRight w:val="0"/>
                      <w:marTop w:val="0"/>
                      <w:marBottom w:val="0"/>
                      <w:divBdr>
                        <w:top w:val="none" w:sz="0" w:space="0" w:color="auto"/>
                        <w:left w:val="none" w:sz="0" w:space="0" w:color="auto"/>
                        <w:bottom w:val="none" w:sz="0" w:space="0" w:color="auto"/>
                        <w:right w:val="none" w:sz="0" w:space="0" w:color="auto"/>
                      </w:divBdr>
                      <w:divsChild>
                        <w:div w:id="107146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521400">
      <w:bodyDiv w:val="1"/>
      <w:marLeft w:val="0"/>
      <w:marRight w:val="0"/>
      <w:marTop w:val="0"/>
      <w:marBottom w:val="0"/>
      <w:divBdr>
        <w:top w:val="none" w:sz="0" w:space="0" w:color="auto"/>
        <w:left w:val="none" w:sz="0" w:space="0" w:color="auto"/>
        <w:bottom w:val="none" w:sz="0" w:space="0" w:color="auto"/>
        <w:right w:val="none" w:sz="0" w:space="0" w:color="auto"/>
      </w:divBdr>
      <w:divsChild>
        <w:div w:id="2024546090">
          <w:marLeft w:val="0"/>
          <w:marRight w:val="0"/>
          <w:marTop w:val="0"/>
          <w:marBottom w:val="0"/>
          <w:divBdr>
            <w:top w:val="none" w:sz="0" w:space="0" w:color="auto"/>
            <w:left w:val="none" w:sz="0" w:space="0" w:color="auto"/>
            <w:bottom w:val="none" w:sz="0" w:space="0" w:color="auto"/>
            <w:right w:val="none" w:sz="0" w:space="0" w:color="auto"/>
          </w:divBdr>
          <w:divsChild>
            <w:div w:id="276717644">
              <w:marLeft w:val="270"/>
              <w:marRight w:val="0"/>
              <w:marTop w:val="0"/>
              <w:marBottom w:val="0"/>
              <w:divBdr>
                <w:top w:val="none" w:sz="0" w:space="0" w:color="auto"/>
                <w:left w:val="none" w:sz="0" w:space="0" w:color="auto"/>
                <w:bottom w:val="none" w:sz="0" w:space="0" w:color="auto"/>
                <w:right w:val="none" w:sz="0" w:space="0" w:color="auto"/>
              </w:divBdr>
            </w:div>
          </w:divsChild>
        </w:div>
        <w:div w:id="1367868348">
          <w:marLeft w:val="0"/>
          <w:marRight w:val="0"/>
          <w:marTop w:val="0"/>
          <w:marBottom w:val="0"/>
          <w:divBdr>
            <w:top w:val="none" w:sz="0" w:space="0" w:color="auto"/>
            <w:left w:val="none" w:sz="0" w:space="0" w:color="auto"/>
            <w:bottom w:val="none" w:sz="0" w:space="0" w:color="auto"/>
            <w:right w:val="none" w:sz="0" w:space="0" w:color="auto"/>
          </w:divBdr>
          <w:divsChild>
            <w:div w:id="22140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210559">
      <w:bodyDiv w:val="1"/>
      <w:marLeft w:val="0"/>
      <w:marRight w:val="0"/>
      <w:marTop w:val="0"/>
      <w:marBottom w:val="0"/>
      <w:divBdr>
        <w:top w:val="none" w:sz="0" w:space="0" w:color="auto"/>
        <w:left w:val="none" w:sz="0" w:space="0" w:color="auto"/>
        <w:bottom w:val="none" w:sz="0" w:space="0" w:color="auto"/>
        <w:right w:val="none" w:sz="0" w:space="0" w:color="auto"/>
      </w:divBdr>
      <w:divsChild>
        <w:div w:id="1143618567">
          <w:marLeft w:val="0"/>
          <w:marRight w:val="0"/>
          <w:marTop w:val="0"/>
          <w:marBottom w:val="0"/>
          <w:divBdr>
            <w:top w:val="none" w:sz="0" w:space="0" w:color="auto"/>
            <w:left w:val="none" w:sz="0" w:space="0" w:color="auto"/>
            <w:bottom w:val="none" w:sz="0" w:space="0" w:color="auto"/>
            <w:right w:val="none" w:sz="0" w:space="0" w:color="auto"/>
          </w:divBdr>
          <w:divsChild>
            <w:div w:id="1895462949">
              <w:marLeft w:val="270"/>
              <w:marRight w:val="0"/>
              <w:marTop w:val="0"/>
              <w:marBottom w:val="0"/>
              <w:divBdr>
                <w:top w:val="none" w:sz="0" w:space="0" w:color="auto"/>
                <w:left w:val="none" w:sz="0" w:space="0" w:color="auto"/>
                <w:bottom w:val="none" w:sz="0" w:space="0" w:color="auto"/>
                <w:right w:val="none" w:sz="0" w:space="0" w:color="auto"/>
              </w:divBdr>
            </w:div>
          </w:divsChild>
        </w:div>
        <w:div w:id="2077046617">
          <w:marLeft w:val="0"/>
          <w:marRight w:val="0"/>
          <w:marTop w:val="0"/>
          <w:marBottom w:val="0"/>
          <w:divBdr>
            <w:top w:val="none" w:sz="0" w:space="0" w:color="auto"/>
            <w:left w:val="none" w:sz="0" w:space="0" w:color="auto"/>
            <w:bottom w:val="none" w:sz="0" w:space="0" w:color="auto"/>
            <w:right w:val="none" w:sz="0" w:space="0" w:color="auto"/>
          </w:divBdr>
          <w:divsChild>
            <w:div w:id="190771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6807">
      <w:bodyDiv w:val="1"/>
      <w:marLeft w:val="0"/>
      <w:marRight w:val="0"/>
      <w:marTop w:val="0"/>
      <w:marBottom w:val="0"/>
      <w:divBdr>
        <w:top w:val="none" w:sz="0" w:space="0" w:color="auto"/>
        <w:left w:val="none" w:sz="0" w:space="0" w:color="auto"/>
        <w:bottom w:val="none" w:sz="0" w:space="0" w:color="auto"/>
        <w:right w:val="none" w:sz="0" w:space="0" w:color="auto"/>
      </w:divBdr>
    </w:div>
    <w:div w:id="1907447596">
      <w:bodyDiv w:val="1"/>
      <w:marLeft w:val="0"/>
      <w:marRight w:val="0"/>
      <w:marTop w:val="0"/>
      <w:marBottom w:val="0"/>
      <w:divBdr>
        <w:top w:val="none" w:sz="0" w:space="0" w:color="auto"/>
        <w:left w:val="none" w:sz="0" w:space="0" w:color="auto"/>
        <w:bottom w:val="none" w:sz="0" w:space="0" w:color="auto"/>
        <w:right w:val="none" w:sz="0" w:space="0" w:color="auto"/>
      </w:divBdr>
      <w:divsChild>
        <w:div w:id="1111628818">
          <w:marLeft w:val="0"/>
          <w:marRight w:val="0"/>
          <w:marTop w:val="0"/>
          <w:marBottom w:val="0"/>
          <w:divBdr>
            <w:top w:val="none" w:sz="0" w:space="0" w:color="auto"/>
            <w:left w:val="none" w:sz="0" w:space="0" w:color="auto"/>
            <w:bottom w:val="none" w:sz="0" w:space="0" w:color="auto"/>
            <w:right w:val="none" w:sz="0" w:space="0" w:color="auto"/>
          </w:divBdr>
          <w:divsChild>
            <w:div w:id="503322617">
              <w:marLeft w:val="0"/>
              <w:marRight w:val="0"/>
              <w:marTop w:val="0"/>
              <w:marBottom w:val="0"/>
              <w:divBdr>
                <w:top w:val="none" w:sz="0" w:space="0" w:color="auto"/>
                <w:left w:val="none" w:sz="0" w:space="0" w:color="auto"/>
                <w:bottom w:val="none" w:sz="0" w:space="0" w:color="auto"/>
                <w:right w:val="none" w:sz="0" w:space="0" w:color="auto"/>
              </w:divBdr>
              <w:divsChild>
                <w:div w:id="204567801">
                  <w:marLeft w:val="0"/>
                  <w:marRight w:val="0"/>
                  <w:marTop w:val="0"/>
                  <w:marBottom w:val="0"/>
                  <w:divBdr>
                    <w:top w:val="none" w:sz="0" w:space="0" w:color="auto"/>
                    <w:left w:val="none" w:sz="0" w:space="0" w:color="auto"/>
                    <w:bottom w:val="none" w:sz="0" w:space="0" w:color="auto"/>
                    <w:right w:val="none" w:sz="0" w:space="0" w:color="auto"/>
                  </w:divBdr>
                  <w:divsChild>
                    <w:div w:id="1783650250">
                      <w:marLeft w:val="0"/>
                      <w:marRight w:val="0"/>
                      <w:marTop w:val="0"/>
                      <w:marBottom w:val="0"/>
                      <w:divBdr>
                        <w:top w:val="none" w:sz="0" w:space="0" w:color="auto"/>
                        <w:left w:val="none" w:sz="0" w:space="0" w:color="auto"/>
                        <w:bottom w:val="none" w:sz="0" w:space="0" w:color="auto"/>
                        <w:right w:val="none" w:sz="0" w:space="0" w:color="auto"/>
                      </w:divBdr>
                      <w:divsChild>
                        <w:div w:id="4845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818133">
      <w:bodyDiv w:val="1"/>
      <w:marLeft w:val="0"/>
      <w:marRight w:val="0"/>
      <w:marTop w:val="0"/>
      <w:marBottom w:val="0"/>
      <w:divBdr>
        <w:top w:val="none" w:sz="0" w:space="0" w:color="auto"/>
        <w:left w:val="none" w:sz="0" w:space="0" w:color="auto"/>
        <w:bottom w:val="none" w:sz="0" w:space="0" w:color="auto"/>
        <w:right w:val="none" w:sz="0" w:space="0" w:color="auto"/>
      </w:divBdr>
      <w:divsChild>
        <w:div w:id="817503384">
          <w:marLeft w:val="0"/>
          <w:marRight w:val="0"/>
          <w:marTop w:val="0"/>
          <w:marBottom w:val="0"/>
          <w:divBdr>
            <w:top w:val="none" w:sz="0" w:space="0" w:color="auto"/>
            <w:left w:val="none" w:sz="0" w:space="0" w:color="auto"/>
            <w:bottom w:val="none" w:sz="0" w:space="0" w:color="auto"/>
            <w:right w:val="none" w:sz="0" w:space="0" w:color="auto"/>
          </w:divBdr>
          <w:divsChild>
            <w:div w:id="999236371">
              <w:marLeft w:val="0"/>
              <w:marRight w:val="0"/>
              <w:marTop w:val="0"/>
              <w:marBottom w:val="0"/>
              <w:divBdr>
                <w:top w:val="none" w:sz="0" w:space="0" w:color="auto"/>
                <w:left w:val="none" w:sz="0" w:space="0" w:color="auto"/>
                <w:bottom w:val="none" w:sz="0" w:space="0" w:color="auto"/>
                <w:right w:val="none" w:sz="0" w:space="0" w:color="auto"/>
              </w:divBdr>
              <w:divsChild>
                <w:div w:id="1228302912">
                  <w:marLeft w:val="0"/>
                  <w:marRight w:val="0"/>
                  <w:marTop w:val="0"/>
                  <w:marBottom w:val="0"/>
                  <w:divBdr>
                    <w:top w:val="none" w:sz="0" w:space="0" w:color="auto"/>
                    <w:left w:val="none" w:sz="0" w:space="0" w:color="auto"/>
                    <w:bottom w:val="none" w:sz="0" w:space="0" w:color="auto"/>
                    <w:right w:val="none" w:sz="0" w:space="0" w:color="auto"/>
                  </w:divBdr>
                  <w:divsChild>
                    <w:div w:id="524951102">
                      <w:marLeft w:val="0"/>
                      <w:marRight w:val="0"/>
                      <w:marTop w:val="0"/>
                      <w:marBottom w:val="0"/>
                      <w:divBdr>
                        <w:top w:val="none" w:sz="0" w:space="0" w:color="auto"/>
                        <w:left w:val="none" w:sz="0" w:space="0" w:color="auto"/>
                        <w:bottom w:val="none" w:sz="0" w:space="0" w:color="auto"/>
                        <w:right w:val="none" w:sz="0" w:space="0" w:color="auto"/>
                      </w:divBdr>
                      <w:divsChild>
                        <w:div w:id="116643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960779">
      <w:bodyDiv w:val="1"/>
      <w:marLeft w:val="0"/>
      <w:marRight w:val="0"/>
      <w:marTop w:val="0"/>
      <w:marBottom w:val="0"/>
      <w:divBdr>
        <w:top w:val="none" w:sz="0" w:space="0" w:color="auto"/>
        <w:left w:val="none" w:sz="0" w:space="0" w:color="auto"/>
        <w:bottom w:val="none" w:sz="0" w:space="0" w:color="auto"/>
        <w:right w:val="none" w:sz="0" w:space="0" w:color="auto"/>
      </w:divBdr>
      <w:divsChild>
        <w:div w:id="1709603275">
          <w:marLeft w:val="0"/>
          <w:marRight w:val="0"/>
          <w:marTop w:val="0"/>
          <w:marBottom w:val="0"/>
          <w:divBdr>
            <w:top w:val="none" w:sz="0" w:space="0" w:color="auto"/>
            <w:left w:val="none" w:sz="0" w:space="0" w:color="auto"/>
            <w:bottom w:val="none" w:sz="0" w:space="0" w:color="auto"/>
            <w:right w:val="none" w:sz="0" w:space="0" w:color="auto"/>
          </w:divBdr>
          <w:divsChild>
            <w:div w:id="1675960658">
              <w:marLeft w:val="0"/>
              <w:marRight w:val="0"/>
              <w:marTop w:val="0"/>
              <w:marBottom w:val="0"/>
              <w:divBdr>
                <w:top w:val="none" w:sz="0" w:space="0" w:color="auto"/>
                <w:left w:val="none" w:sz="0" w:space="0" w:color="auto"/>
                <w:bottom w:val="none" w:sz="0" w:space="0" w:color="auto"/>
                <w:right w:val="none" w:sz="0" w:space="0" w:color="auto"/>
              </w:divBdr>
              <w:divsChild>
                <w:div w:id="1598714036">
                  <w:marLeft w:val="0"/>
                  <w:marRight w:val="0"/>
                  <w:marTop w:val="0"/>
                  <w:marBottom w:val="0"/>
                  <w:divBdr>
                    <w:top w:val="none" w:sz="0" w:space="0" w:color="auto"/>
                    <w:left w:val="none" w:sz="0" w:space="0" w:color="auto"/>
                    <w:bottom w:val="none" w:sz="0" w:space="0" w:color="auto"/>
                    <w:right w:val="none" w:sz="0" w:space="0" w:color="auto"/>
                  </w:divBdr>
                  <w:divsChild>
                    <w:div w:id="167528112">
                      <w:marLeft w:val="0"/>
                      <w:marRight w:val="0"/>
                      <w:marTop w:val="0"/>
                      <w:marBottom w:val="0"/>
                      <w:divBdr>
                        <w:top w:val="none" w:sz="0" w:space="0" w:color="auto"/>
                        <w:left w:val="none" w:sz="0" w:space="0" w:color="auto"/>
                        <w:bottom w:val="none" w:sz="0" w:space="0" w:color="auto"/>
                        <w:right w:val="none" w:sz="0" w:space="0" w:color="auto"/>
                      </w:divBdr>
                      <w:divsChild>
                        <w:div w:id="77636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nts.nih.gov/grants/guide/notice-files/NOT-OD-21-013.html" TargetMode="External"/><Relationship Id="rId13" Type="http://schemas.openxmlformats.org/officeDocument/2006/relationships/hyperlink" Target="https://grants.nih.gov/grants/guide/notice-files/NOT-OD-22-198.html" TargetMode="External"/><Relationship Id="rId3" Type="http://schemas.openxmlformats.org/officeDocument/2006/relationships/settings" Target="settings.xml"/><Relationship Id="rId7" Type="http://schemas.openxmlformats.org/officeDocument/2006/relationships/hyperlink" Target="https://sharing.nih.gov/genomic-data-sharing-policy/submitting-genomic-data/data-submission-and-release-expectations" TargetMode="External"/><Relationship Id="rId12" Type="http://schemas.openxmlformats.org/officeDocument/2006/relationships/hyperlink" Target="https://grants.nih.gov/grants/guide/notice-files/NOT-OD-21-013.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haring.nih.gov/other-sharing-policies/nih-institute-and-center-data-sharing-policies" TargetMode="External"/><Relationship Id="rId11" Type="http://schemas.openxmlformats.org/officeDocument/2006/relationships/hyperlink" Target="https://grants.nih.gov/grants/guide/notice-files/NOT-OD-22-198.html" TargetMode="External"/><Relationship Id="rId5" Type="http://schemas.openxmlformats.org/officeDocument/2006/relationships/hyperlink" Target="https://grants.nih.gov/grants/guide/notice-files/NOT-OD-21-013.html" TargetMode="External"/><Relationship Id="rId15" Type="http://schemas.openxmlformats.org/officeDocument/2006/relationships/hyperlink" Target="https://grants.nih.gov/grants/guide/notice-files/NOT-OD-21-013.html" TargetMode="External"/><Relationship Id="rId10" Type="http://schemas.openxmlformats.org/officeDocument/2006/relationships/hyperlink" Target="https://grants.nih.gov/grants/guide/notice-files/NOT-OD-22-198.html" TargetMode="External"/><Relationship Id="rId4" Type="http://schemas.openxmlformats.org/officeDocument/2006/relationships/webSettings" Target="webSettings.xml"/><Relationship Id="rId9" Type="http://schemas.openxmlformats.org/officeDocument/2006/relationships/hyperlink" Target="https://grants.nih.gov/grants/guide/notice-files/NOT-OD-21-013.html" TargetMode="External"/><Relationship Id="rId14" Type="http://schemas.openxmlformats.org/officeDocument/2006/relationships/hyperlink" Target="https://grants.nih.gov/grants/guide/notice-files/NOT-OD-22-19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1400</Words>
  <Characters>7574</Characters>
  <Application>Microsoft Office Word</Application>
  <DocSecurity>0</DocSecurity>
  <Lines>157</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Bartlett, Moriah (NIH/OD) [E]</dc:creator>
  <cp:keywords/>
  <dc:description/>
  <cp:lastModifiedBy>Mattson, Janet (NIH/OD) [C]</cp:lastModifiedBy>
  <cp:revision>3</cp:revision>
  <dcterms:created xsi:type="dcterms:W3CDTF">2023-01-30T14:06:00Z</dcterms:created>
  <dcterms:modified xsi:type="dcterms:W3CDTF">2023-01-30T14:16:00Z</dcterms:modified>
</cp:coreProperties>
</file>